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54F3" w:rsidRPr="00836626" w:rsidRDefault="00FD7BD1" w:rsidP="00A16EF2">
      <w:pPr>
        <w:spacing w:after="120" w:line="240" w:lineRule="auto"/>
        <w:jc w:val="center"/>
        <w:rPr>
          <w:rFonts w:ascii="Arial" w:hAnsi="Arial" w:cs="Arial"/>
          <w:b/>
          <w:sz w:val="24"/>
          <w:szCs w:val="24"/>
        </w:rPr>
      </w:pPr>
      <w:r w:rsidRPr="00836626">
        <w:rPr>
          <w:rFonts w:ascii="Arial" w:hAnsi="Arial" w:cs="Arial"/>
          <w:b/>
          <w:sz w:val="24"/>
          <w:szCs w:val="24"/>
        </w:rPr>
        <w:t>BAB III</w:t>
      </w:r>
    </w:p>
    <w:p w:rsidR="00FD7BD1" w:rsidRPr="00836626" w:rsidRDefault="00FD7BD1" w:rsidP="00A16EF2">
      <w:pPr>
        <w:spacing w:after="120" w:line="240" w:lineRule="auto"/>
        <w:jc w:val="center"/>
        <w:rPr>
          <w:rFonts w:ascii="Arial" w:hAnsi="Arial" w:cs="Arial"/>
          <w:b/>
          <w:sz w:val="24"/>
          <w:szCs w:val="24"/>
        </w:rPr>
      </w:pPr>
      <w:r w:rsidRPr="00836626">
        <w:rPr>
          <w:rFonts w:ascii="Arial" w:hAnsi="Arial" w:cs="Arial"/>
          <w:b/>
          <w:sz w:val="24"/>
          <w:szCs w:val="24"/>
        </w:rPr>
        <w:t xml:space="preserve">ASUMSI-ASUMSI DASAR DALAM PENYUSUNAN RANCANGAN ANGGARAN PENDAPATAN DAN BELANJA DAERAH (RAPBD) </w:t>
      </w:r>
      <w:r w:rsidR="00836626">
        <w:rPr>
          <w:rFonts w:ascii="Arial" w:hAnsi="Arial" w:cs="Arial"/>
          <w:b/>
          <w:sz w:val="24"/>
          <w:szCs w:val="24"/>
        </w:rPr>
        <w:t>KOTA PAYAKUMBUH</w:t>
      </w:r>
      <w:r w:rsidRPr="00836626">
        <w:rPr>
          <w:rFonts w:ascii="Arial" w:hAnsi="Arial" w:cs="Arial"/>
          <w:b/>
          <w:sz w:val="24"/>
          <w:szCs w:val="24"/>
        </w:rPr>
        <w:t xml:space="preserve"> TAHUN 2016</w:t>
      </w:r>
    </w:p>
    <w:p w:rsidR="00FD7BD1" w:rsidRPr="0060327E" w:rsidRDefault="00FD7BD1" w:rsidP="00A16EF2">
      <w:pPr>
        <w:spacing w:after="120" w:line="240" w:lineRule="auto"/>
        <w:jc w:val="both"/>
        <w:rPr>
          <w:rFonts w:ascii="Arial" w:hAnsi="Arial" w:cs="Arial"/>
          <w:sz w:val="14"/>
          <w:szCs w:val="24"/>
        </w:rPr>
      </w:pPr>
    </w:p>
    <w:p w:rsidR="00792571" w:rsidRPr="00836626" w:rsidRDefault="00792571" w:rsidP="00792571">
      <w:pPr>
        <w:numPr>
          <w:ilvl w:val="1"/>
          <w:numId w:val="4"/>
        </w:numPr>
        <w:tabs>
          <w:tab w:val="left" w:pos="426"/>
        </w:tabs>
        <w:spacing w:after="120"/>
        <w:ind w:left="567" w:hanging="567"/>
        <w:jc w:val="both"/>
        <w:rPr>
          <w:rFonts w:ascii="Arial" w:hAnsi="Arial" w:cs="Arial"/>
          <w:b/>
          <w:sz w:val="24"/>
          <w:szCs w:val="24"/>
        </w:rPr>
      </w:pPr>
      <w:r w:rsidRPr="00836626">
        <w:rPr>
          <w:rFonts w:ascii="Arial" w:hAnsi="Arial" w:cs="Arial"/>
          <w:b/>
          <w:sz w:val="24"/>
          <w:szCs w:val="24"/>
        </w:rPr>
        <w:t>Asumsi Dasar Yang Digunakan Dalam APBN Tahun 2016</w:t>
      </w:r>
    </w:p>
    <w:p w:rsidR="00A133A9" w:rsidRPr="00836626" w:rsidRDefault="00A133A9" w:rsidP="002C35ED">
      <w:pPr>
        <w:spacing w:before="120" w:after="120" w:line="240" w:lineRule="auto"/>
        <w:ind w:left="425" w:firstLine="709"/>
        <w:jc w:val="both"/>
        <w:rPr>
          <w:rFonts w:ascii="Arial" w:hAnsi="Arial" w:cs="Arial"/>
          <w:sz w:val="24"/>
          <w:szCs w:val="24"/>
        </w:rPr>
      </w:pPr>
      <w:r w:rsidRPr="00836626">
        <w:rPr>
          <w:rFonts w:ascii="Arial" w:hAnsi="Arial" w:cs="Arial"/>
          <w:sz w:val="24"/>
          <w:szCs w:val="24"/>
        </w:rPr>
        <w:t xml:space="preserve">Merujuk pada kesimpulan hasil Musyawarah Perencanaan Pembangunan Nasional (Musrenbangnas) Tahun 2015 bahwa tantangan utama program pembangunan pada Tahun Anggaran 2016 diperkirakan relatif lebih kompleks dibandingkan dengan Tahun 2015, baik dari faktor internal maupun eksternal. Dari dalam negeri, risiko tekanan inflasi masih cukup besar meskipun harga beberapa komoditas terutama energi cenderung menurun. Dalam jangka pendek, tekanan inflasi dari kelompok pangan diperkirakan masih cukup tinggi, terutama terkait dengan faktor cuaca yang kurang mendukung. Selain itu, risiko inflasi diperkirakan juga bersumber dari kelompok </w:t>
      </w:r>
      <w:r w:rsidRPr="00836626">
        <w:rPr>
          <w:rFonts w:ascii="Arial" w:hAnsi="Arial" w:cs="Arial"/>
          <w:i/>
          <w:sz w:val="24"/>
          <w:szCs w:val="24"/>
        </w:rPr>
        <w:t>administered prices</w:t>
      </w:r>
      <w:r w:rsidRPr="00836626">
        <w:rPr>
          <w:rFonts w:ascii="Arial" w:hAnsi="Arial" w:cs="Arial"/>
          <w:sz w:val="24"/>
          <w:szCs w:val="24"/>
        </w:rPr>
        <w:t xml:space="preserve"> seiring dengan kebijakan reformasi subsidi energi yang tengah berlangsung. Tantangan eksternal yang utama adalah kenaikan suku bunga </w:t>
      </w:r>
      <w:r w:rsidRPr="00D86A68">
        <w:rPr>
          <w:rFonts w:ascii="Arial" w:hAnsi="Arial" w:cs="Arial"/>
          <w:i/>
          <w:sz w:val="24"/>
          <w:szCs w:val="24"/>
        </w:rPr>
        <w:t>The Fed</w:t>
      </w:r>
      <w:r w:rsidRPr="00836626">
        <w:rPr>
          <w:rFonts w:ascii="Arial" w:hAnsi="Arial" w:cs="Arial"/>
          <w:sz w:val="24"/>
          <w:szCs w:val="24"/>
        </w:rPr>
        <w:t xml:space="preserve">, Bank Sentral Amerika, yang dilaksanakan pada pertengahan tahun 2015, gejolak harga minyak dunia dan komoditas.Kondisi ekonomi global dalam dua tahun terakhir ini tidak terlalu bersahabat. </w:t>
      </w:r>
      <w:r w:rsidRPr="00836626">
        <w:rPr>
          <w:rFonts w:ascii="Arial" w:hAnsi="Arial" w:cs="Arial"/>
          <w:i/>
          <w:sz w:val="24"/>
          <w:szCs w:val="24"/>
        </w:rPr>
        <w:t>International Monetary Fund (IMF</w:t>
      </w:r>
      <w:r w:rsidRPr="00836626">
        <w:rPr>
          <w:rFonts w:ascii="Arial" w:hAnsi="Arial" w:cs="Arial"/>
          <w:sz w:val="24"/>
          <w:szCs w:val="24"/>
        </w:rPr>
        <w:t>) memperkirakan, laju pertumbuhan ekonomi global tahun 2014 pada tingkat 2,6</w:t>
      </w:r>
      <w:r w:rsidRPr="00836626">
        <w:rPr>
          <w:rFonts w:ascii="Arial" w:hAnsi="Arial" w:cs="Arial"/>
          <w:sz w:val="24"/>
          <w:szCs w:val="24"/>
          <w:lang w:val="en-US"/>
        </w:rPr>
        <w:t>%</w:t>
      </w:r>
      <w:r w:rsidRPr="00836626">
        <w:rPr>
          <w:rFonts w:ascii="Arial" w:hAnsi="Arial" w:cs="Arial"/>
          <w:sz w:val="24"/>
          <w:szCs w:val="24"/>
        </w:rPr>
        <w:t xml:space="preserve"> sedikit lebih rendah dari tahun 2013 sebesar 3,3%.</w:t>
      </w:r>
    </w:p>
    <w:p w:rsidR="00A133A9" w:rsidRPr="00836626" w:rsidRDefault="00A133A9" w:rsidP="002C35ED">
      <w:pPr>
        <w:spacing w:before="120" w:after="120" w:line="240" w:lineRule="auto"/>
        <w:ind w:left="425" w:firstLine="709"/>
        <w:jc w:val="both"/>
        <w:rPr>
          <w:rFonts w:ascii="Arial" w:hAnsi="Arial" w:cs="Arial"/>
          <w:sz w:val="24"/>
          <w:szCs w:val="24"/>
        </w:rPr>
      </w:pPr>
      <w:r w:rsidRPr="00836626">
        <w:rPr>
          <w:rFonts w:ascii="Arial" w:hAnsi="Arial" w:cs="Arial"/>
          <w:sz w:val="24"/>
          <w:szCs w:val="24"/>
        </w:rPr>
        <w:t xml:space="preserve">Selain itu, Indonesia juga akan memasuki era baru perdagangan dengan negara-negara kawasan dalam Masyarakat Ekonomi ASEAN (MEA). Dengan demikian, persaingan perdagangan akan semakin ketat mengingat arus barang, jasa, investasi, modal dalam jumlah yang besar dan </w:t>
      </w:r>
      <w:r w:rsidRPr="00836626">
        <w:rPr>
          <w:rFonts w:ascii="Arial" w:hAnsi="Arial" w:cs="Arial"/>
          <w:i/>
          <w:sz w:val="24"/>
          <w:szCs w:val="24"/>
        </w:rPr>
        <w:t>skilled labour</w:t>
      </w:r>
      <w:r w:rsidRPr="00836626">
        <w:rPr>
          <w:rFonts w:ascii="Arial" w:hAnsi="Arial" w:cs="Arial"/>
          <w:sz w:val="24"/>
          <w:szCs w:val="24"/>
        </w:rPr>
        <w:t xml:space="preserve"> antar-negara menjadi semakin terbuka dan tidak ada hambatan di kawasan Asia Tenggara. </w:t>
      </w:r>
    </w:p>
    <w:p w:rsidR="00A133A9" w:rsidRPr="00836626" w:rsidRDefault="00A133A9" w:rsidP="002C35ED">
      <w:pPr>
        <w:spacing w:before="120" w:after="120" w:line="240" w:lineRule="auto"/>
        <w:ind w:left="425" w:firstLine="709"/>
        <w:jc w:val="both"/>
        <w:rPr>
          <w:rFonts w:ascii="Arial" w:hAnsi="Arial" w:cs="Arial"/>
          <w:sz w:val="24"/>
          <w:szCs w:val="24"/>
        </w:rPr>
      </w:pPr>
      <w:r w:rsidRPr="00836626">
        <w:rPr>
          <w:rFonts w:ascii="Arial" w:hAnsi="Arial" w:cs="Arial"/>
          <w:sz w:val="24"/>
          <w:szCs w:val="24"/>
        </w:rPr>
        <w:t xml:space="preserve">Untuk itu, persiapan yang sangat baik dalam rangka pelaksanaan MEA tersebut sangat diperlukan sehingga Indonesia dapat bersaing dengan negara-negara sekawasan. Tantangan lain juga muncul seiring dengan peningkatan target penerimaan pajak oleh pemerintah, sementara  di sisi lain potensi pajak yang tidak bisa dipungut semakin besar akibat kapasitas pemungut pajak semakin tidak mampu menjangkau pertumbuhan ekonomi. Hal ini terlihat dari pertumbuhan penerimaan pajak 2014 yang merupakan terendah dalam lima tahun terakhir. Perlu dicermati bersama kondisi defisit transaksi perdagangan yang terjadi terus menerus sehingga ekspor tidak lagi bisa diandalkan untuk mendorong pertumbuhan ekonomi pada tahun-tahun ke depan. </w:t>
      </w:r>
    </w:p>
    <w:p w:rsidR="00A133A9" w:rsidRPr="00836626" w:rsidRDefault="00A133A9" w:rsidP="002C35ED">
      <w:pPr>
        <w:spacing w:before="120" w:after="120" w:line="240" w:lineRule="auto"/>
        <w:ind w:left="425" w:firstLine="709"/>
        <w:jc w:val="both"/>
        <w:rPr>
          <w:rFonts w:ascii="Arial" w:hAnsi="Arial" w:cs="Arial"/>
          <w:sz w:val="24"/>
          <w:szCs w:val="24"/>
        </w:rPr>
      </w:pPr>
      <w:r w:rsidRPr="00836626">
        <w:rPr>
          <w:rFonts w:ascii="Arial" w:hAnsi="Arial" w:cs="Arial"/>
          <w:sz w:val="24"/>
          <w:szCs w:val="24"/>
        </w:rPr>
        <w:t xml:space="preserve">Dalam situasi seperti ini, tiga indikator penting sangat diharapkan dapat mendorong pertumbuhan ekonomi, yakni konsumsi rumah tangga, belanja pemerintah, dan investasi. Untuk itu diperlukan suatu terobosan lain, seperti menyewa peralatan mesin dari negara lain untuk mengerjakan proyek pemerintah dan swasta, percepatan pembangunan infrastruktur agar arus distribusi barang dan jasa dapat lebih cepat dan murah yang pada akhirnya dapat menopang daya beli masyarakat, serta melakukan penyederhanaan </w:t>
      </w:r>
      <w:r w:rsidRPr="00836626">
        <w:rPr>
          <w:rFonts w:ascii="Arial" w:hAnsi="Arial" w:cs="Arial"/>
          <w:sz w:val="24"/>
          <w:szCs w:val="24"/>
        </w:rPr>
        <w:lastRenderedPageBreak/>
        <w:t xml:space="preserve">terkait dengan izin-izin usaha dan memberikan insentif lainnya, seperti pengurangan pajak agar menarik bagi investor untuk berinvestasi di Indonesia. Gejolak perekonomian global dan harga-harga komoditas, perlu diantisipasi dengan melakukan diversifikasi sumber pertumbuhan ekonomi Indonesia. Indonesia tidak  bisa lagi hanya mengandalkan sumber daya alam dan buruh tak terampil. Pemerintah Indonesia perlu mengambil langkah-langkah antisipatif untuk mendorong inovasi serta pengembangan teknologi dan kualitas sumber daya manusia. Pemerintah memulai langkah itu dengan kebijakan pembebasan pajak pertambahan nilai (PPN) impor untuk buku nonfiksi, bagi kemajuan pendidikan dalam  negeri. Di samping itu pemerintah juga memberikan insentif pajak untuk memajukan kegiatan penelitian dan pengembangan. </w:t>
      </w:r>
    </w:p>
    <w:p w:rsidR="00A133A9" w:rsidRPr="00836626" w:rsidRDefault="00A133A9" w:rsidP="002C35ED">
      <w:pPr>
        <w:spacing w:before="120" w:after="120" w:line="240" w:lineRule="auto"/>
        <w:ind w:left="425" w:firstLine="709"/>
        <w:jc w:val="both"/>
        <w:rPr>
          <w:rFonts w:ascii="Arial" w:hAnsi="Arial" w:cs="Arial"/>
          <w:sz w:val="24"/>
          <w:szCs w:val="24"/>
        </w:rPr>
      </w:pPr>
      <w:r w:rsidRPr="00836626">
        <w:rPr>
          <w:rFonts w:ascii="Arial" w:hAnsi="Arial" w:cs="Arial"/>
          <w:sz w:val="24"/>
          <w:szCs w:val="24"/>
        </w:rPr>
        <w:t xml:space="preserve">Untuk itu diperlukan upaya yang lebih sistematis dan efektif guna meningkatkan keterpaduan dan sinkronisasi program antara pusat dan daerah, sehingga dapat menunjang keberlanjutan langkah-langkah strategis yang telah ditempuh dalam upaya mendorong percepatan pertumbuhan ekonomi berkeadilan yang ditunjang oleh tata kelola penyelenggaraan pemerintahan yang mantap. Tantangan dan prospek ekonomi </w:t>
      </w:r>
      <w:r w:rsidR="00836626">
        <w:rPr>
          <w:rFonts w:ascii="Arial" w:hAnsi="Arial" w:cs="Arial"/>
          <w:sz w:val="24"/>
          <w:szCs w:val="24"/>
        </w:rPr>
        <w:t>Kota Payakumbuh</w:t>
      </w:r>
      <w:r w:rsidRPr="00836626">
        <w:rPr>
          <w:rFonts w:ascii="Arial" w:hAnsi="Arial" w:cs="Arial"/>
          <w:sz w:val="24"/>
          <w:szCs w:val="24"/>
        </w:rPr>
        <w:t xml:space="preserve"> pada tahun 2016, tidak terlepas dari perkembangan ekonomi global dan nasional sebagai konsekuensi dari sistem ekonomi terbuka.</w:t>
      </w:r>
    </w:p>
    <w:p w:rsidR="00A133A9" w:rsidRPr="00836626" w:rsidRDefault="00A133A9" w:rsidP="002C35ED">
      <w:pPr>
        <w:spacing w:before="120" w:after="120" w:line="240" w:lineRule="auto"/>
        <w:ind w:left="425" w:firstLine="709"/>
        <w:jc w:val="both"/>
        <w:rPr>
          <w:rFonts w:ascii="Arial" w:hAnsi="Arial" w:cs="Arial"/>
          <w:i/>
          <w:sz w:val="24"/>
          <w:szCs w:val="24"/>
        </w:rPr>
      </w:pPr>
      <w:r w:rsidRPr="00836626">
        <w:rPr>
          <w:rFonts w:ascii="Arial" w:hAnsi="Arial" w:cs="Arial"/>
          <w:sz w:val="24"/>
          <w:szCs w:val="24"/>
        </w:rPr>
        <w:t xml:space="preserve">Berdasarkan data dari Kementerian Keuangan, pada tahun 2016 diperkirakan laju pertumbuhan ekonomi nasional berada pada kisaran              6 - 6,6%. Laju pertumbuhan ekonomi nasional semakin membaik disebabkan pemerintah terus mendorong pembangunan industri dalam negeri guna mengurangi ketergantungan pada impor barang modal dan bahan baku. Selain dukungan dari faktor eksternal, pertumbuhan ekonomi yang lebih baik didorong oleh stabilitas dan fundamental ekonomi yang membaik serta berlanjutnya kebijakan struktural untuk mengatasi kendala penawaran </w:t>
      </w:r>
      <w:r w:rsidRPr="00836626">
        <w:rPr>
          <w:rFonts w:ascii="Arial" w:hAnsi="Arial" w:cs="Arial"/>
          <w:i/>
          <w:sz w:val="24"/>
          <w:szCs w:val="24"/>
        </w:rPr>
        <w:t>(supply constrain).</w:t>
      </w:r>
    </w:p>
    <w:p w:rsidR="00A133A9" w:rsidRPr="00836626" w:rsidRDefault="00A133A9" w:rsidP="002C35ED">
      <w:pPr>
        <w:spacing w:before="120" w:after="120" w:line="240" w:lineRule="auto"/>
        <w:ind w:left="425" w:firstLine="709"/>
        <w:jc w:val="both"/>
        <w:rPr>
          <w:rFonts w:ascii="Arial" w:hAnsi="Arial" w:cs="Arial"/>
          <w:sz w:val="24"/>
          <w:szCs w:val="24"/>
        </w:rPr>
      </w:pPr>
      <w:r w:rsidRPr="00836626">
        <w:rPr>
          <w:rFonts w:ascii="Arial" w:hAnsi="Arial" w:cs="Arial"/>
          <w:sz w:val="24"/>
          <w:szCs w:val="24"/>
        </w:rPr>
        <w:t>Laju inflasi 2016 diperkirakan berada pada kisaran 3 - 5%. Upaya menjaga inflasi akan didukung dengan menjamin pasokan kebutuhan masyarakat, dukungan perbaikan distribusi barang kebutuhan ke seluruh nusantara, serta optimalisasi instrumen dan fiskal dalam rangka menjaga stabilitas harga.</w:t>
      </w:r>
    </w:p>
    <w:p w:rsidR="00A133A9" w:rsidRPr="00836626" w:rsidRDefault="00A133A9" w:rsidP="002C35ED">
      <w:pPr>
        <w:spacing w:before="120" w:after="120" w:line="240" w:lineRule="auto"/>
        <w:ind w:left="425" w:firstLine="709"/>
        <w:jc w:val="both"/>
        <w:rPr>
          <w:rFonts w:ascii="Arial" w:hAnsi="Arial" w:cs="Arial"/>
          <w:sz w:val="24"/>
          <w:szCs w:val="24"/>
        </w:rPr>
      </w:pPr>
      <w:r w:rsidRPr="00836626">
        <w:rPr>
          <w:rFonts w:ascii="Arial" w:hAnsi="Arial" w:cs="Arial"/>
          <w:sz w:val="24"/>
          <w:szCs w:val="24"/>
        </w:rPr>
        <w:t xml:space="preserve"> Adapun untuk Surat Perbendaharaan Negara (SPN) dengan jangka 3 </w:t>
      </w:r>
      <w:r w:rsidR="0010086F">
        <w:rPr>
          <w:rFonts w:ascii="Arial" w:hAnsi="Arial" w:cs="Arial"/>
          <w:sz w:val="24"/>
          <w:szCs w:val="24"/>
        </w:rPr>
        <w:t xml:space="preserve">(tiga) </w:t>
      </w:r>
      <w:r w:rsidRPr="00836626">
        <w:rPr>
          <w:rFonts w:ascii="Arial" w:hAnsi="Arial" w:cs="Arial"/>
          <w:sz w:val="24"/>
          <w:szCs w:val="24"/>
        </w:rPr>
        <w:t>bulan pada 2016 diperkirakan akan berada pada rentang 4 -</w:t>
      </w:r>
      <w:r w:rsidR="00B16FD7">
        <w:rPr>
          <w:rFonts w:ascii="Arial" w:hAnsi="Arial" w:cs="Arial"/>
          <w:sz w:val="24"/>
          <w:szCs w:val="24"/>
        </w:rPr>
        <w:t xml:space="preserve"> </w:t>
      </w:r>
      <w:r w:rsidRPr="00836626">
        <w:rPr>
          <w:rFonts w:ascii="Arial" w:hAnsi="Arial" w:cs="Arial"/>
          <w:sz w:val="24"/>
          <w:szCs w:val="24"/>
        </w:rPr>
        <w:t>6% atau lebih rendah dibanding tahun 2015. SPN ini merupakan landasan penghitungan pembayaran bunga utang pemerintah.</w:t>
      </w:r>
    </w:p>
    <w:p w:rsidR="00A133A9" w:rsidRPr="00836626" w:rsidRDefault="00A133A9" w:rsidP="002C35ED">
      <w:pPr>
        <w:spacing w:before="120" w:after="120" w:line="240" w:lineRule="auto"/>
        <w:ind w:left="425" w:firstLine="709"/>
        <w:jc w:val="both"/>
        <w:rPr>
          <w:rFonts w:ascii="Arial" w:hAnsi="Arial" w:cs="Arial"/>
          <w:sz w:val="24"/>
          <w:szCs w:val="24"/>
        </w:rPr>
      </w:pPr>
      <w:r w:rsidRPr="00836626">
        <w:rPr>
          <w:rFonts w:ascii="Arial" w:hAnsi="Arial" w:cs="Arial"/>
          <w:sz w:val="24"/>
          <w:szCs w:val="24"/>
        </w:rPr>
        <w:t xml:space="preserve">Harga rata-rata </w:t>
      </w:r>
      <w:r w:rsidRPr="00836626">
        <w:rPr>
          <w:rFonts w:ascii="Arial" w:hAnsi="Arial" w:cs="Arial"/>
          <w:i/>
          <w:sz w:val="24"/>
          <w:szCs w:val="24"/>
        </w:rPr>
        <w:t>Indonesia Crude Price (ICP</w:t>
      </w:r>
      <w:r w:rsidRPr="00836626">
        <w:rPr>
          <w:rFonts w:ascii="Arial" w:hAnsi="Arial" w:cs="Arial"/>
          <w:sz w:val="24"/>
          <w:szCs w:val="24"/>
        </w:rPr>
        <w:t xml:space="preserve">) diperkirakan berada di kisaran US$60-80 dolar per barel. Sementara itu, </w:t>
      </w:r>
      <w:r w:rsidRPr="00836626">
        <w:rPr>
          <w:rFonts w:ascii="Arial" w:hAnsi="Arial" w:cs="Arial"/>
          <w:i/>
          <w:sz w:val="24"/>
          <w:szCs w:val="24"/>
        </w:rPr>
        <w:t>lifting</w:t>
      </w:r>
      <w:r w:rsidRPr="00836626">
        <w:rPr>
          <w:rFonts w:ascii="Arial" w:hAnsi="Arial" w:cs="Arial"/>
          <w:sz w:val="24"/>
          <w:szCs w:val="24"/>
        </w:rPr>
        <w:t xml:space="preserve"> minyak diperkirakan mencapai 830-850 per barel setara minyak per hari. </w:t>
      </w:r>
      <w:r w:rsidRPr="00836626">
        <w:rPr>
          <w:rFonts w:ascii="Arial" w:hAnsi="Arial" w:cs="Arial"/>
          <w:i/>
          <w:sz w:val="24"/>
          <w:szCs w:val="24"/>
        </w:rPr>
        <w:t>Lifting</w:t>
      </w:r>
      <w:r w:rsidRPr="00836626">
        <w:rPr>
          <w:rFonts w:ascii="Arial" w:hAnsi="Arial" w:cs="Arial"/>
          <w:sz w:val="24"/>
          <w:szCs w:val="24"/>
        </w:rPr>
        <w:t xml:space="preserve"> gas bumi sekitar 1.100</w:t>
      </w:r>
      <w:r w:rsidR="00161C6B">
        <w:rPr>
          <w:rFonts w:ascii="Arial" w:hAnsi="Arial" w:cs="Arial"/>
          <w:sz w:val="24"/>
          <w:szCs w:val="24"/>
        </w:rPr>
        <w:t xml:space="preserve"> </w:t>
      </w:r>
      <w:r w:rsidRPr="00836626">
        <w:rPr>
          <w:rFonts w:ascii="Arial" w:hAnsi="Arial" w:cs="Arial"/>
          <w:sz w:val="24"/>
          <w:szCs w:val="24"/>
        </w:rPr>
        <w:t>-</w:t>
      </w:r>
      <w:r w:rsidR="00161C6B">
        <w:rPr>
          <w:rFonts w:ascii="Arial" w:hAnsi="Arial" w:cs="Arial"/>
          <w:sz w:val="24"/>
          <w:szCs w:val="24"/>
        </w:rPr>
        <w:t xml:space="preserve"> </w:t>
      </w:r>
      <w:r w:rsidRPr="00836626">
        <w:rPr>
          <w:rFonts w:ascii="Arial" w:hAnsi="Arial" w:cs="Arial"/>
          <w:sz w:val="24"/>
          <w:szCs w:val="24"/>
        </w:rPr>
        <w:t>1.200 ribu barel setara minyak per hari. Untuk rupiah, Pemerintah, Bank Indonesia dan Otoritas Jasa Keuangan (OJK) memperkirakan nilai tukar rupiah akan terjaga dan bergerak relatif stabil, pada kisaran Rp</w:t>
      </w:r>
      <w:r w:rsidR="00161C6B">
        <w:rPr>
          <w:rFonts w:ascii="Arial" w:hAnsi="Arial" w:cs="Arial"/>
          <w:sz w:val="24"/>
          <w:szCs w:val="24"/>
        </w:rPr>
        <w:t xml:space="preserve"> </w:t>
      </w:r>
      <w:r w:rsidRPr="00836626">
        <w:rPr>
          <w:rFonts w:ascii="Arial" w:hAnsi="Arial" w:cs="Arial"/>
          <w:sz w:val="24"/>
          <w:szCs w:val="24"/>
        </w:rPr>
        <w:t>12.700-13.100 per dolar AS.Secara ringkas gambaran capaian ekonomi makro nasional tahun 2014, perkiraan Tahun 2015 dan target Tahun 2016 dapat dilihat pada Tabel 3.1</w:t>
      </w:r>
    </w:p>
    <w:p w:rsidR="00A133A9" w:rsidRPr="00836626" w:rsidRDefault="00A133A9" w:rsidP="00A133A9">
      <w:pPr>
        <w:spacing w:after="0" w:line="240" w:lineRule="auto"/>
        <w:ind w:firstLine="720"/>
        <w:rPr>
          <w:rFonts w:ascii="Arial" w:hAnsi="Arial" w:cs="Arial"/>
          <w:sz w:val="24"/>
          <w:szCs w:val="24"/>
        </w:rPr>
      </w:pPr>
    </w:p>
    <w:p w:rsidR="00A133A9" w:rsidRPr="00836626" w:rsidRDefault="00A133A9" w:rsidP="00A133A9">
      <w:pPr>
        <w:tabs>
          <w:tab w:val="left" w:pos="0"/>
        </w:tabs>
        <w:spacing w:after="0" w:line="240" w:lineRule="auto"/>
        <w:jc w:val="center"/>
        <w:rPr>
          <w:rFonts w:ascii="Arial" w:hAnsi="Arial" w:cs="Arial"/>
          <w:b/>
          <w:sz w:val="24"/>
          <w:szCs w:val="24"/>
        </w:rPr>
      </w:pPr>
      <w:r w:rsidRPr="00836626">
        <w:rPr>
          <w:rFonts w:ascii="Arial" w:hAnsi="Arial" w:cs="Arial"/>
          <w:b/>
          <w:sz w:val="24"/>
          <w:szCs w:val="24"/>
        </w:rPr>
        <w:lastRenderedPageBreak/>
        <w:t>Tabel 3.1</w:t>
      </w:r>
    </w:p>
    <w:p w:rsidR="00A133A9" w:rsidRPr="00836626" w:rsidRDefault="00A133A9" w:rsidP="00A133A9">
      <w:pPr>
        <w:tabs>
          <w:tab w:val="left" w:pos="0"/>
        </w:tabs>
        <w:spacing w:after="0" w:line="240" w:lineRule="auto"/>
        <w:jc w:val="center"/>
        <w:rPr>
          <w:rFonts w:ascii="Arial" w:hAnsi="Arial" w:cs="Arial"/>
          <w:b/>
          <w:sz w:val="24"/>
          <w:szCs w:val="24"/>
        </w:rPr>
      </w:pPr>
      <w:r w:rsidRPr="00836626">
        <w:rPr>
          <w:rFonts w:ascii="Arial" w:hAnsi="Arial" w:cs="Arial"/>
          <w:b/>
          <w:sz w:val="24"/>
          <w:szCs w:val="24"/>
        </w:rPr>
        <w:t>Gambaran Capaian Ekonomi Makro Nasional Tahun 2014,</w:t>
      </w:r>
    </w:p>
    <w:p w:rsidR="00A133A9" w:rsidRPr="00836626" w:rsidRDefault="00A133A9" w:rsidP="00A133A9">
      <w:pPr>
        <w:tabs>
          <w:tab w:val="left" w:pos="0"/>
        </w:tabs>
        <w:spacing w:after="120" w:line="240" w:lineRule="auto"/>
        <w:jc w:val="center"/>
        <w:rPr>
          <w:rFonts w:ascii="Arial" w:hAnsi="Arial" w:cs="Arial"/>
          <w:b/>
          <w:sz w:val="24"/>
          <w:szCs w:val="24"/>
        </w:rPr>
      </w:pPr>
      <w:r w:rsidRPr="00836626">
        <w:rPr>
          <w:rFonts w:ascii="Arial" w:hAnsi="Arial" w:cs="Arial"/>
          <w:b/>
          <w:sz w:val="24"/>
          <w:szCs w:val="24"/>
        </w:rPr>
        <w:t>Perkiraan Tahun 2015 dan Target Tahun 2016</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3686"/>
        <w:gridCol w:w="1276"/>
        <w:gridCol w:w="1559"/>
        <w:gridCol w:w="1701"/>
      </w:tblGrid>
      <w:tr w:rsidR="00A133A9" w:rsidRPr="00836626" w:rsidTr="00A133A9">
        <w:trPr>
          <w:trHeight w:val="393"/>
        </w:trPr>
        <w:tc>
          <w:tcPr>
            <w:tcW w:w="567" w:type="dxa"/>
            <w:shd w:val="clear" w:color="auto" w:fill="D9D9D9" w:themeFill="background1" w:themeFillShade="D9"/>
            <w:vAlign w:val="center"/>
          </w:tcPr>
          <w:p w:rsidR="00A133A9" w:rsidRPr="00836626" w:rsidRDefault="00A133A9" w:rsidP="00C22EE3">
            <w:pPr>
              <w:spacing w:after="0" w:line="240" w:lineRule="auto"/>
              <w:ind w:right="-67"/>
              <w:jc w:val="center"/>
              <w:rPr>
                <w:rFonts w:ascii="Arial" w:hAnsi="Arial" w:cs="Arial"/>
                <w:b/>
                <w:lang w:val="en-US"/>
              </w:rPr>
            </w:pPr>
            <w:r w:rsidRPr="00836626">
              <w:rPr>
                <w:rFonts w:ascii="Arial" w:hAnsi="Arial" w:cs="Arial"/>
                <w:b/>
                <w:lang w:val="en-US"/>
              </w:rPr>
              <w:t>No</w:t>
            </w:r>
          </w:p>
        </w:tc>
        <w:tc>
          <w:tcPr>
            <w:tcW w:w="3686" w:type="dxa"/>
            <w:shd w:val="clear" w:color="auto" w:fill="D9D9D9" w:themeFill="background1" w:themeFillShade="D9"/>
            <w:vAlign w:val="center"/>
          </w:tcPr>
          <w:p w:rsidR="00A133A9" w:rsidRPr="00836626" w:rsidRDefault="00A133A9" w:rsidP="00C22EE3">
            <w:pPr>
              <w:tabs>
                <w:tab w:val="left" w:pos="0"/>
              </w:tabs>
              <w:spacing w:after="0" w:line="240" w:lineRule="auto"/>
              <w:jc w:val="center"/>
              <w:rPr>
                <w:rFonts w:ascii="Arial" w:hAnsi="Arial" w:cs="Arial"/>
                <w:b/>
              </w:rPr>
            </w:pPr>
            <w:r w:rsidRPr="00836626">
              <w:rPr>
                <w:rFonts w:ascii="Arial" w:hAnsi="Arial" w:cs="Arial"/>
                <w:b/>
              </w:rPr>
              <w:t>Indikator Makro</w:t>
            </w:r>
          </w:p>
        </w:tc>
        <w:tc>
          <w:tcPr>
            <w:tcW w:w="1276" w:type="dxa"/>
            <w:shd w:val="clear" w:color="auto" w:fill="D9D9D9" w:themeFill="background1" w:themeFillShade="D9"/>
            <w:vAlign w:val="center"/>
          </w:tcPr>
          <w:p w:rsidR="00A133A9" w:rsidRPr="00836626" w:rsidRDefault="00A133A9" w:rsidP="00C22EE3">
            <w:pPr>
              <w:tabs>
                <w:tab w:val="left" w:pos="0"/>
              </w:tabs>
              <w:spacing w:after="0" w:line="240" w:lineRule="auto"/>
              <w:jc w:val="center"/>
              <w:rPr>
                <w:rFonts w:ascii="Arial" w:hAnsi="Arial" w:cs="Arial"/>
                <w:b/>
              </w:rPr>
            </w:pPr>
            <w:r w:rsidRPr="00836626">
              <w:rPr>
                <w:rFonts w:ascii="Arial" w:hAnsi="Arial" w:cs="Arial"/>
                <w:b/>
              </w:rPr>
              <w:t>2014</w:t>
            </w:r>
          </w:p>
        </w:tc>
        <w:tc>
          <w:tcPr>
            <w:tcW w:w="1559" w:type="dxa"/>
            <w:shd w:val="clear" w:color="auto" w:fill="D9D9D9" w:themeFill="background1" w:themeFillShade="D9"/>
            <w:vAlign w:val="center"/>
          </w:tcPr>
          <w:p w:rsidR="00A133A9" w:rsidRPr="00836626" w:rsidRDefault="00A133A9" w:rsidP="00C22EE3">
            <w:pPr>
              <w:tabs>
                <w:tab w:val="left" w:pos="0"/>
              </w:tabs>
              <w:spacing w:after="0" w:line="240" w:lineRule="auto"/>
              <w:jc w:val="center"/>
              <w:rPr>
                <w:rFonts w:ascii="Arial" w:hAnsi="Arial" w:cs="Arial"/>
                <w:b/>
              </w:rPr>
            </w:pPr>
            <w:r w:rsidRPr="00836626">
              <w:rPr>
                <w:rFonts w:ascii="Arial" w:hAnsi="Arial" w:cs="Arial"/>
                <w:b/>
              </w:rPr>
              <w:t>Perkiraan 2015</w:t>
            </w:r>
          </w:p>
        </w:tc>
        <w:tc>
          <w:tcPr>
            <w:tcW w:w="1701" w:type="dxa"/>
            <w:shd w:val="clear" w:color="auto" w:fill="D9D9D9" w:themeFill="background1" w:themeFillShade="D9"/>
            <w:vAlign w:val="center"/>
          </w:tcPr>
          <w:p w:rsidR="00A133A9" w:rsidRPr="00836626" w:rsidRDefault="00A133A9" w:rsidP="00C22EE3">
            <w:pPr>
              <w:tabs>
                <w:tab w:val="left" w:pos="0"/>
              </w:tabs>
              <w:spacing w:after="0" w:line="240" w:lineRule="auto"/>
              <w:jc w:val="center"/>
              <w:rPr>
                <w:rFonts w:ascii="Arial" w:hAnsi="Arial" w:cs="Arial"/>
                <w:b/>
              </w:rPr>
            </w:pPr>
            <w:r w:rsidRPr="00836626">
              <w:rPr>
                <w:rFonts w:ascii="Arial" w:hAnsi="Arial" w:cs="Arial"/>
                <w:b/>
              </w:rPr>
              <w:t>Target 2016</w:t>
            </w:r>
          </w:p>
        </w:tc>
      </w:tr>
      <w:tr w:rsidR="00A133A9" w:rsidRPr="00836626" w:rsidTr="00A133A9">
        <w:tc>
          <w:tcPr>
            <w:tcW w:w="567" w:type="dxa"/>
          </w:tcPr>
          <w:p w:rsidR="00A133A9" w:rsidRPr="00836626" w:rsidRDefault="00A133A9" w:rsidP="00A133A9">
            <w:pPr>
              <w:tabs>
                <w:tab w:val="left" w:pos="284"/>
              </w:tabs>
              <w:spacing w:after="0" w:line="240" w:lineRule="auto"/>
              <w:jc w:val="center"/>
              <w:rPr>
                <w:rFonts w:ascii="Arial" w:hAnsi="Arial" w:cs="Arial"/>
              </w:rPr>
            </w:pPr>
            <w:r w:rsidRPr="00836626">
              <w:rPr>
                <w:rFonts w:ascii="Arial" w:hAnsi="Arial" w:cs="Arial"/>
              </w:rPr>
              <w:t>1.</w:t>
            </w:r>
          </w:p>
          <w:p w:rsidR="00A133A9" w:rsidRPr="00836626" w:rsidRDefault="00A133A9" w:rsidP="00A133A9">
            <w:pPr>
              <w:tabs>
                <w:tab w:val="left" w:pos="284"/>
              </w:tabs>
              <w:spacing w:after="0" w:line="240" w:lineRule="auto"/>
              <w:jc w:val="center"/>
              <w:rPr>
                <w:rFonts w:ascii="Arial" w:hAnsi="Arial" w:cs="Arial"/>
              </w:rPr>
            </w:pPr>
            <w:r w:rsidRPr="00836626">
              <w:rPr>
                <w:rFonts w:ascii="Arial" w:hAnsi="Arial" w:cs="Arial"/>
              </w:rPr>
              <w:t>2.</w:t>
            </w:r>
          </w:p>
          <w:p w:rsidR="00A133A9" w:rsidRPr="00836626" w:rsidRDefault="00A133A9" w:rsidP="00A133A9">
            <w:pPr>
              <w:tabs>
                <w:tab w:val="left" w:pos="284"/>
              </w:tabs>
              <w:spacing w:after="0" w:line="240" w:lineRule="auto"/>
              <w:jc w:val="center"/>
              <w:rPr>
                <w:rFonts w:ascii="Arial" w:hAnsi="Arial" w:cs="Arial"/>
                <w:lang w:val="en-US"/>
              </w:rPr>
            </w:pPr>
            <w:r w:rsidRPr="00836626">
              <w:rPr>
                <w:rFonts w:ascii="Arial" w:hAnsi="Arial" w:cs="Arial"/>
                <w:lang w:val="en-US"/>
              </w:rPr>
              <w:t>3.</w:t>
            </w:r>
          </w:p>
          <w:p w:rsidR="00A133A9" w:rsidRPr="00836626" w:rsidRDefault="00A133A9" w:rsidP="00A133A9">
            <w:pPr>
              <w:tabs>
                <w:tab w:val="left" w:pos="284"/>
              </w:tabs>
              <w:spacing w:after="0" w:line="240" w:lineRule="auto"/>
              <w:jc w:val="center"/>
              <w:rPr>
                <w:rFonts w:ascii="Arial" w:hAnsi="Arial" w:cs="Arial"/>
                <w:lang w:val="en-US"/>
              </w:rPr>
            </w:pPr>
            <w:r w:rsidRPr="00836626">
              <w:rPr>
                <w:rFonts w:ascii="Arial" w:hAnsi="Arial" w:cs="Arial"/>
                <w:lang w:val="en-US"/>
              </w:rPr>
              <w:t>4.</w:t>
            </w:r>
          </w:p>
          <w:p w:rsidR="00A133A9" w:rsidRPr="00836626" w:rsidRDefault="00A133A9" w:rsidP="00A133A9">
            <w:pPr>
              <w:tabs>
                <w:tab w:val="left" w:pos="284"/>
              </w:tabs>
              <w:spacing w:after="0" w:line="240" w:lineRule="auto"/>
              <w:jc w:val="center"/>
              <w:rPr>
                <w:rFonts w:ascii="Arial" w:hAnsi="Arial" w:cs="Arial"/>
                <w:lang w:val="en-US"/>
              </w:rPr>
            </w:pPr>
            <w:r w:rsidRPr="00836626">
              <w:rPr>
                <w:rFonts w:ascii="Arial" w:hAnsi="Arial" w:cs="Arial"/>
                <w:lang w:val="en-US"/>
              </w:rPr>
              <w:t>5.</w:t>
            </w:r>
          </w:p>
          <w:p w:rsidR="00A133A9" w:rsidRPr="00836626" w:rsidRDefault="00A133A9" w:rsidP="00A133A9">
            <w:pPr>
              <w:tabs>
                <w:tab w:val="left" w:pos="284"/>
              </w:tabs>
              <w:spacing w:after="0" w:line="240" w:lineRule="auto"/>
              <w:jc w:val="center"/>
              <w:rPr>
                <w:rFonts w:ascii="Arial" w:hAnsi="Arial" w:cs="Arial"/>
                <w:lang w:val="en-US"/>
              </w:rPr>
            </w:pPr>
            <w:r w:rsidRPr="00836626">
              <w:rPr>
                <w:rFonts w:ascii="Arial" w:hAnsi="Arial" w:cs="Arial"/>
                <w:lang w:val="en-US"/>
              </w:rPr>
              <w:t>6.</w:t>
            </w:r>
          </w:p>
          <w:p w:rsidR="00A133A9" w:rsidRPr="00836626" w:rsidRDefault="00A133A9" w:rsidP="00A133A9">
            <w:pPr>
              <w:tabs>
                <w:tab w:val="left" w:pos="284"/>
              </w:tabs>
              <w:spacing w:after="0" w:line="240" w:lineRule="auto"/>
              <w:jc w:val="center"/>
              <w:rPr>
                <w:rFonts w:ascii="Arial" w:hAnsi="Arial" w:cs="Arial"/>
              </w:rPr>
            </w:pPr>
            <w:r w:rsidRPr="00836626">
              <w:rPr>
                <w:rFonts w:ascii="Arial" w:hAnsi="Arial" w:cs="Arial"/>
                <w:lang w:val="en-US"/>
              </w:rPr>
              <w:t>7.</w:t>
            </w:r>
          </w:p>
        </w:tc>
        <w:tc>
          <w:tcPr>
            <w:tcW w:w="3686" w:type="dxa"/>
          </w:tcPr>
          <w:p w:rsidR="00A133A9" w:rsidRPr="00836626" w:rsidRDefault="00A133A9" w:rsidP="00C22EE3">
            <w:pPr>
              <w:tabs>
                <w:tab w:val="left" w:pos="284"/>
              </w:tabs>
              <w:spacing w:after="0" w:line="240" w:lineRule="auto"/>
              <w:rPr>
                <w:rFonts w:ascii="Arial" w:hAnsi="Arial" w:cs="Arial"/>
              </w:rPr>
            </w:pPr>
            <w:r w:rsidRPr="00836626">
              <w:rPr>
                <w:rFonts w:ascii="Arial" w:hAnsi="Arial" w:cs="Arial"/>
              </w:rPr>
              <w:t>Pertumbuhan Ekonomi (%)</w:t>
            </w:r>
          </w:p>
          <w:p w:rsidR="00A133A9" w:rsidRPr="00836626" w:rsidRDefault="00A133A9" w:rsidP="00C22EE3">
            <w:pPr>
              <w:tabs>
                <w:tab w:val="left" w:pos="284"/>
              </w:tabs>
              <w:spacing w:after="0" w:line="240" w:lineRule="auto"/>
              <w:rPr>
                <w:rFonts w:ascii="Arial" w:hAnsi="Arial" w:cs="Arial"/>
              </w:rPr>
            </w:pPr>
            <w:r w:rsidRPr="00836626">
              <w:rPr>
                <w:rFonts w:ascii="Arial" w:hAnsi="Arial" w:cs="Arial"/>
              </w:rPr>
              <w:t>Laju Inflasi (%)</w:t>
            </w:r>
          </w:p>
          <w:p w:rsidR="00A133A9" w:rsidRPr="00836626" w:rsidRDefault="00A133A9" w:rsidP="00C22EE3">
            <w:pPr>
              <w:tabs>
                <w:tab w:val="left" w:pos="284"/>
              </w:tabs>
              <w:spacing w:after="0" w:line="240" w:lineRule="auto"/>
              <w:rPr>
                <w:rFonts w:ascii="Arial" w:hAnsi="Arial" w:cs="Arial"/>
              </w:rPr>
            </w:pPr>
            <w:r w:rsidRPr="00836626">
              <w:rPr>
                <w:rFonts w:ascii="Arial" w:hAnsi="Arial" w:cs="Arial"/>
              </w:rPr>
              <w:t>Kurs (Rp/dollar AS)</w:t>
            </w:r>
          </w:p>
          <w:p w:rsidR="00A133A9" w:rsidRPr="00836626" w:rsidRDefault="00A133A9" w:rsidP="00C22EE3">
            <w:pPr>
              <w:tabs>
                <w:tab w:val="left" w:pos="284"/>
              </w:tabs>
              <w:spacing w:after="0" w:line="240" w:lineRule="auto"/>
              <w:rPr>
                <w:rFonts w:ascii="Arial" w:hAnsi="Arial" w:cs="Arial"/>
              </w:rPr>
            </w:pPr>
            <w:r w:rsidRPr="00836626">
              <w:rPr>
                <w:rFonts w:ascii="Arial" w:hAnsi="Arial" w:cs="Arial"/>
              </w:rPr>
              <w:t>SPN 3 bulan (%)</w:t>
            </w:r>
          </w:p>
          <w:p w:rsidR="00A133A9" w:rsidRPr="00836626" w:rsidRDefault="00A133A9" w:rsidP="00C22EE3">
            <w:pPr>
              <w:tabs>
                <w:tab w:val="left" w:pos="284"/>
              </w:tabs>
              <w:spacing w:after="0" w:line="240" w:lineRule="auto"/>
              <w:rPr>
                <w:rFonts w:ascii="Arial" w:hAnsi="Arial" w:cs="Arial"/>
              </w:rPr>
            </w:pPr>
            <w:r w:rsidRPr="00836626">
              <w:rPr>
                <w:rFonts w:ascii="Arial" w:hAnsi="Arial" w:cs="Arial"/>
              </w:rPr>
              <w:t>Harga Minyak Mentah (US$/ barel)</w:t>
            </w:r>
          </w:p>
          <w:p w:rsidR="00A133A9" w:rsidRPr="00836626" w:rsidRDefault="00A133A9" w:rsidP="00C22EE3">
            <w:pPr>
              <w:tabs>
                <w:tab w:val="left" w:pos="284"/>
              </w:tabs>
              <w:spacing w:after="0" w:line="240" w:lineRule="auto"/>
              <w:rPr>
                <w:rFonts w:ascii="Arial" w:hAnsi="Arial" w:cs="Arial"/>
              </w:rPr>
            </w:pPr>
            <w:r w:rsidRPr="00836626">
              <w:rPr>
                <w:rFonts w:ascii="Arial" w:hAnsi="Arial" w:cs="Arial"/>
                <w:i/>
              </w:rPr>
              <w:t xml:space="preserve">Lifting </w:t>
            </w:r>
            <w:r w:rsidRPr="00836626">
              <w:rPr>
                <w:rFonts w:ascii="Arial" w:hAnsi="Arial" w:cs="Arial"/>
              </w:rPr>
              <w:t>Minyak (ribu barrel/ hari)</w:t>
            </w:r>
          </w:p>
          <w:p w:rsidR="00A133A9" w:rsidRPr="00836626" w:rsidRDefault="00A133A9" w:rsidP="00C22EE3">
            <w:pPr>
              <w:tabs>
                <w:tab w:val="left" w:pos="284"/>
              </w:tabs>
              <w:spacing w:after="0" w:line="240" w:lineRule="auto"/>
              <w:rPr>
                <w:rFonts w:ascii="Arial" w:hAnsi="Arial" w:cs="Arial"/>
              </w:rPr>
            </w:pPr>
            <w:r w:rsidRPr="00836626">
              <w:rPr>
                <w:rFonts w:ascii="Arial" w:hAnsi="Arial" w:cs="Arial"/>
                <w:i/>
              </w:rPr>
              <w:t xml:space="preserve">Lifting </w:t>
            </w:r>
            <w:r w:rsidRPr="00836626">
              <w:rPr>
                <w:rFonts w:ascii="Arial" w:hAnsi="Arial" w:cs="Arial"/>
              </w:rPr>
              <w:t>gas (ribu barrel/hari)</w:t>
            </w:r>
          </w:p>
        </w:tc>
        <w:tc>
          <w:tcPr>
            <w:tcW w:w="1276" w:type="dxa"/>
          </w:tcPr>
          <w:p w:rsidR="00A133A9" w:rsidRPr="00836626" w:rsidRDefault="00A133A9" w:rsidP="00C22EE3">
            <w:pPr>
              <w:tabs>
                <w:tab w:val="left" w:pos="0"/>
              </w:tabs>
              <w:spacing w:after="0" w:line="240" w:lineRule="auto"/>
              <w:jc w:val="right"/>
              <w:rPr>
                <w:rFonts w:ascii="Arial" w:hAnsi="Arial" w:cs="Arial"/>
              </w:rPr>
            </w:pPr>
            <w:r w:rsidRPr="00836626">
              <w:rPr>
                <w:rFonts w:ascii="Arial" w:hAnsi="Arial" w:cs="Arial"/>
              </w:rPr>
              <w:t>5,1</w:t>
            </w:r>
          </w:p>
          <w:p w:rsidR="00A133A9" w:rsidRPr="00836626" w:rsidRDefault="00A133A9" w:rsidP="00C22EE3">
            <w:pPr>
              <w:tabs>
                <w:tab w:val="left" w:pos="0"/>
              </w:tabs>
              <w:spacing w:after="0" w:line="240" w:lineRule="auto"/>
              <w:jc w:val="right"/>
              <w:rPr>
                <w:rFonts w:ascii="Arial" w:hAnsi="Arial" w:cs="Arial"/>
              </w:rPr>
            </w:pPr>
            <w:r w:rsidRPr="00836626">
              <w:rPr>
                <w:rFonts w:ascii="Arial" w:hAnsi="Arial" w:cs="Arial"/>
              </w:rPr>
              <w:t>8,36</w:t>
            </w:r>
          </w:p>
          <w:p w:rsidR="00A133A9" w:rsidRPr="00836626" w:rsidRDefault="00A133A9" w:rsidP="00C22EE3">
            <w:pPr>
              <w:tabs>
                <w:tab w:val="left" w:pos="0"/>
              </w:tabs>
              <w:spacing w:after="0" w:line="240" w:lineRule="auto"/>
              <w:jc w:val="right"/>
              <w:rPr>
                <w:rFonts w:ascii="Arial" w:hAnsi="Arial" w:cs="Arial"/>
              </w:rPr>
            </w:pPr>
            <w:r w:rsidRPr="00836626">
              <w:rPr>
                <w:rFonts w:ascii="Arial" w:hAnsi="Arial" w:cs="Arial"/>
              </w:rPr>
              <w:t>11.878</w:t>
            </w:r>
          </w:p>
          <w:p w:rsidR="00A133A9" w:rsidRPr="00836626" w:rsidRDefault="00A133A9" w:rsidP="00C22EE3">
            <w:pPr>
              <w:tabs>
                <w:tab w:val="left" w:pos="0"/>
              </w:tabs>
              <w:spacing w:after="0" w:line="240" w:lineRule="auto"/>
              <w:jc w:val="right"/>
              <w:rPr>
                <w:rFonts w:ascii="Arial" w:hAnsi="Arial" w:cs="Arial"/>
              </w:rPr>
            </w:pPr>
            <w:r w:rsidRPr="00836626">
              <w:rPr>
                <w:rFonts w:ascii="Arial" w:hAnsi="Arial" w:cs="Arial"/>
              </w:rPr>
              <w:t>5,8</w:t>
            </w:r>
          </w:p>
          <w:p w:rsidR="00A133A9" w:rsidRPr="00836626" w:rsidRDefault="00A133A9" w:rsidP="00C22EE3">
            <w:pPr>
              <w:tabs>
                <w:tab w:val="left" w:pos="0"/>
              </w:tabs>
              <w:spacing w:after="0" w:line="240" w:lineRule="auto"/>
              <w:jc w:val="right"/>
              <w:rPr>
                <w:rFonts w:ascii="Arial" w:hAnsi="Arial" w:cs="Arial"/>
              </w:rPr>
            </w:pPr>
            <w:r w:rsidRPr="00836626">
              <w:rPr>
                <w:rFonts w:ascii="Arial" w:hAnsi="Arial" w:cs="Arial"/>
              </w:rPr>
              <w:t>97</w:t>
            </w:r>
          </w:p>
          <w:p w:rsidR="00A133A9" w:rsidRPr="00836626" w:rsidRDefault="00A133A9" w:rsidP="00C22EE3">
            <w:pPr>
              <w:tabs>
                <w:tab w:val="left" w:pos="0"/>
              </w:tabs>
              <w:spacing w:after="0" w:line="240" w:lineRule="auto"/>
              <w:jc w:val="right"/>
              <w:rPr>
                <w:rFonts w:ascii="Arial" w:hAnsi="Arial" w:cs="Arial"/>
              </w:rPr>
            </w:pPr>
            <w:r w:rsidRPr="00836626">
              <w:rPr>
                <w:rFonts w:ascii="Arial" w:hAnsi="Arial" w:cs="Arial"/>
              </w:rPr>
              <w:t>794</w:t>
            </w:r>
          </w:p>
          <w:p w:rsidR="00A133A9" w:rsidRPr="00836626" w:rsidRDefault="00A133A9" w:rsidP="00C22EE3">
            <w:pPr>
              <w:tabs>
                <w:tab w:val="left" w:pos="0"/>
              </w:tabs>
              <w:spacing w:after="0" w:line="240" w:lineRule="auto"/>
              <w:jc w:val="right"/>
              <w:rPr>
                <w:rFonts w:ascii="Arial" w:hAnsi="Arial" w:cs="Arial"/>
              </w:rPr>
            </w:pPr>
            <w:r w:rsidRPr="00836626">
              <w:rPr>
                <w:rFonts w:ascii="Arial" w:hAnsi="Arial" w:cs="Arial"/>
              </w:rPr>
              <w:t>1.224</w:t>
            </w:r>
          </w:p>
        </w:tc>
        <w:tc>
          <w:tcPr>
            <w:tcW w:w="1559" w:type="dxa"/>
          </w:tcPr>
          <w:p w:rsidR="00A133A9" w:rsidRPr="00836626" w:rsidRDefault="00A133A9" w:rsidP="00C22EE3">
            <w:pPr>
              <w:tabs>
                <w:tab w:val="left" w:pos="0"/>
              </w:tabs>
              <w:spacing w:after="0" w:line="240" w:lineRule="auto"/>
              <w:jc w:val="right"/>
              <w:rPr>
                <w:rFonts w:ascii="Arial" w:hAnsi="Arial" w:cs="Arial"/>
              </w:rPr>
            </w:pPr>
            <w:r w:rsidRPr="00836626">
              <w:rPr>
                <w:rFonts w:ascii="Arial" w:hAnsi="Arial" w:cs="Arial"/>
              </w:rPr>
              <w:t>5,8</w:t>
            </w:r>
          </w:p>
          <w:p w:rsidR="00A133A9" w:rsidRPr="00836626" w:rsidRDefault="00A133A9" w:rsidP="00C22EE3">
            <w:pPr>
              <w:tabs>
                <w:tab w:val="left" w:pos="0"/>
              </w:tabs>
              <w:spacing w:after="0" w:line="240" w:lineRule="auto"/>
              <w:jc w:val="right"/>
              <w:rPr>
                <w:rFonts w:ascii="Arial" w:hAnsi="Arial" w:cs="Arial"/>
              </w:rPr>
            </w:pPr>
            <w:r w:rsidRPr="00836626">
              <w:rPr>
                <w:rFonts w:ascii="Arial" w:hAnsi="Arial" w:cs="Arial"/>
              </w:rPr>
              <w:t>5</w:t>
            </w:r>
          </w:p>
          <w:p w:rsidR="00A133A9" w:rsidRPr="00836626" w:rsidRDefault="00A133A9" w:rsidP="00C22EE3">
            <w:pPr>
              <w:tabs>
                <w:tab w:val="left" w:pos="0"/>
              </w:tabs>
              <w:spacing w:after="0" w:line="240" w:lineRule="auto"/>
              <w:jc w:val="right"/>
              <w:rPr>
                <w:rFonts w:ascii="Arial" w:hAnsi="Arial" w:cs="Arial"/>
              </w:rPr>
            </w:pPr>
            <w:r w:rsidRPr="00836626">
              <w:rPr>
                <w:rFonts w:ascii="Arial" w:hAnsi="Arial" w:cs="Arial"/>
              </w:rPr>
              <w:t>12.200</w:t>
            </w:r>
          </w:p>
          <w:p w:rsidR="00A133A9" w:rsidRPr="00836626" w:rsidRDefault="00A133A9" w:rsidP="00C22EE3">
            <w:pPr>
              <w:tabs>
                <w:tab w:val="left" w:pos="0"/>
              </w:tabs>
              <w:spacing w:after="0" w:line="240" w:lineRule="auto"/>
              <w:jc w:val="right"/>
              <w:rPr>
                <w:rFonts w:ascii="Arial" w:hAnsi="Arial" w:cs="Arial"/>
              </w:rPr>
            </w:pPr>
            <w:r w:rsidRPr="00836626">
              <w:rPr>
                <w:rFonts w:ascii="Arial" w:hAnsi="Arial" w:cs="Arial"/>
              </w:rPr>
              <w:t>6,2</w:t>
            </w:r>
          </w:p>
          <w:p w:rsidR="00A133A9" w:rsidRPr="00836626" w:rsidRDefault="00A133A9" w:rsidP="00C22EE3">
            <w:pPr>
              <w:tabs>
                <w:tab w:val="left" w:pos="0"/>
              </w:tabs>
              <w:spacing w:after="0" w:line="240" w:lineRule="auto"/>
              <w:jc w:val="right"/>
              <w:rPr>
                <w:rFonts w:ascii="Arial" w:hAnsi="Arial" w:cs="Arial"/>
              </w:rPr>
            </w:pPr>
            <w:r w:rsidRPr="00836626">
              <w:rPr>
                <w:rFonts w:ascii="Arial" w:hAnsi="Arial" w:cs="Arial"/>
              </w:rPr>
              <w:t>70</w:t>
            </w:r>
          </w:p>
          <w:p w:rsidR="00A133A9" w:rsidRPr="00836626" w:rsidRDefault="00A133A9" w:rsidP="00C22EE3">
            <w:pPr>
              <w:tabs>
                <w:tab w:val="left" w:pos="0"/>
              </w:tabs>
              <w:spacing w:after="0" w:line="240" w:lineRule="auto"/>
              <w:jc w:val="right"/>
              <w:rPr>
                <w:rFonts w:ascii="Arial" w:hAnsi="Arial" w:cs="Arial"/>
              </w:rPr>
            </w:pPr>
            <w:r w:rsidRPr="00836626">
              <w:rPr>
                <w:rFonts w:ascii="Arial" w:hAnsi="Arial" w:cs="Arial"/>
              </w:rPr>
              <w:t>849</w:t>
            </w:r>
          </w:p>
          <w:p w:rsidR="00A133A9" w:rsidRPr="00836626" w:rsidRDefault="00A133A9" w:rsidP="00C22EE3">
            <w:pPr>
              <w:tabs>
                <w:tab w:val="left" w:pos="0"/>
              </w:tabs>
              <w:spacing w:after="0" w:line="240" w:lineRule="auto"/>
              <w:jc w:val="right"/>
              <w:rPr>
                <w:rFonts w:ascii="Arial" w:hAnsi="Arial" w:cs="Arial"/>
              </w:rPr>
            </w:pPr>
            <w:r w:rsidRPr="00836626">
              <w:rPr>
                <w:rFonts w:ascii="Arial" w:hAnsi="Arial" w:cs="Arial"/>
              </w:rPr>
              <w:t>1.177</w:t>
            </w:r>
          </w:p>
        </w:tc>
        <w:tc>
          <w:tcPr>
            <w:tcW w:w="1701" w:type="dxa"/>
          </w:tcPr>
          <w:p w:rsidR="00A133A9" w:rsidRPr="00836626" w:rsidRDefault="00B16FD7" w:rsidP="00C22EE3">
            <w:pPr>
              <w:tabs>
                <w:tab w:val="left" w:pos="0"/>
              </w:tabs>
              <w:spacing w:after="0" w:line="240" w:lineRule="auto"/>
              <w:jc w:val="right"/>
              <w:rPr>
                <w:rFonts w:ascii="Arial" w:hAnsi="Arial" w:cs="Arial"/>
              </w:rPr>
            </w:pPr>
            <w:r>
              <w:rPr>
                <w:rFonts w:ascii="Arial" w:hAnsi="Arial" w:cs="Arial"/>
              </w:rPr>
              <w:t xml:space="preserve">6 - </w:t>
            </w:r>
            <w:r w:rsidR="00A133A9" w:rsidRPr="00836626">
              <w:rPr>
                <w:rFonts w:ascii="Arial" w:hAnsi="Arial" w:cs="Arial"/>
              </w:rPr>
              <w:t>6,6</w:t>
            </w:r>
          </w:p>
          <w:p w:rsidR="00A133A9" w:rsidRPr="00836626" w:rsidRDefault="00A133A9" w:rsidP="00C22EE3">
            <w:pPr>
              <w:tabs>
                <w:tab w:val="left" w:pos="0"/>
              </w:tabs>
              <w:spacing w:after="0" w:line="240" w:lineRule="auto"/>
              <w:jc w:val="right"/>
              <w:rPr>
                <w:rFonts w:ascii="Arial" w:hAnsi="Arial" w:cs="Arial"/>
              </w:rPr>
            </w:pPr>
            <w:r w:rsidRPr="00836626">
              <w:rPr>
                <w:rFonts w:ascii="Arial" w:hAnsi="Arial" w:cs="Arial"/>
              </w:rPr>
              <w:t>3</w:t>
            </w:r>
            <w:r w:rsidR="00B16FD7">
              <w:rPr>
                <w:rFonts w:ascii="Arial" w:hAnsi="Arial" w:cs="Arial"/>
              </w:rPr>
              <w:t xml:space="preserve"> </w:t>
            </w:r>
            <w:r w:rsidRPr="00836626">
              <w:rPr>
                <w:rFonts w:ascii="Arial" w:hAnsi="Arial" w:cs="Arial"/>
              </w:rPr>
              <w:t>-</w:t>
            </w:r>
            <w:r w:rsidR="00B16FD7">
              <w:rPr>
                <w:rFonts w:ascii="Arial" w:hAnsi="Arial" w:cs="Arial"/>
              </w:rPr>
              <w:t xml:space="preserve"> </w:t>
            </w:r>
            <w:r w:rsidRPr="00836626">
              <w:rPr>
                <w:rFonts w:ascii="Arial" w:hAnsi="Arial" w:cs="Arial"/>
              </w:rPr>
              <w:t>5</w:t>
            </w:r>
          </w:p>
          <w:p w:rsidR="00A133A9" w:rsidRPr="00836626" w:rsidRDefault="00A133A9" w:rsidP="00C22EE3">
            <w:pPr>
              <w:tabs>
                <w:tab w:val="left" w:pos="0"/>
              </w:tabs>
              <w:spacing w:after="0" w:line="240" w:lineRule="auto"/>
              <w:jc w:val="right"/>
              <w:rPr>
                <w:rFonts w:ascii="Arial" w:hAnsi="Arial" w:cs="Arial"/>
              </w:rPr>
            </w:pPr>
            <w:r w:rsidRPr="00836626">
              <w:rPr>
                <w:rFonts w:ascii="Arial" w:hAnsi="Arial" w:cs="Arial"/>
              </w:rPr>
              <w:t>12.700-13.100</w:t>
            </w:r>
          </w:p>
          <w:p w:rsidR="00A133A9" w:rsidRPr="00836626" w:rsidRDefault="00A133A9" w:rsidP="00C22EE3">
            <w:pPr>
              <w:tabs>
                <w:tab w:val="left" w:pos="0"/>
              </w:tabs>
              <w:spacing w:after="0" w:line="240" w:lineRule="auto"/>
              <w:jc w:val="right"/>
              <w:rPr>
                <w:rFonts w:ascii="Arial" w:hAnsi="Arial" w:cs="Arial"/>
              </w:rPr>
            </w:pPr>
            <w:r w:rsidRPr="00836626">
              <w:rPr>
                <w:rFonts w:ascii="Arial" w:hAnsi="Arial" w:cs="Arial"/>
              </w:rPr>
              <w:t>4</w:t>
            </w:r>
            <w:r w:rsidR="00B16FD7">
              <w:rPr>
                <w:rFonts w:ascii="Arial" w:hAnsi="Arial" w:cs="Arial"/>
              </w:rPr>
              <w:t xml:space="preserve"> </w:t>
            </w:r>
            <w:r w:rsidRPr="00836626">
              <w:rPr>
                <w:rFonts w:ascii="Arial" w:hAnsi="Arial" w:cs="Arial"/>
              </w:rPr>
              <w:t>-</w:t>
            </w:r>
            <w:r w:rsidR="00B16FD7">
              <w:rPr>
                <w:rFonts w:ascii="Arial" w:hAnsi="Arial" w:cs="Arial"/>
              </w:rPr>
              <w:t xml:space="preserve"> </w:t>
            </w:r>
            <w:r w:rsidRPr="00836626">
              <w:rPr>
                <w:rFonts w:ascii="Arial" w:hAnsi="Arial" w:cs="Arial"/>
              </w:rPr>
              <w:t>6</w:t>
            </w:r>
          </w:p>
          <w:p w:rsidR="00A133A9" w:rsidRPr="00836626" w:rsidRDefault="00A133A9" w:rsidP="00C22EE3">
            <w:pPr>
              <w:tabs>
                <w:tab w:val="left" w:pos="0"/>
              </w:tabs>
              <w:spacing w:after="0" w:line="240" w:lineRule="auto"/>
              <w:jc w:val="right"/>
              <w:rPr>
                <w:rFonts w:ascii="Arial" w:hAnsi="Arial" w:cs="Arial"/>
              </w:rPr>
            </w:pPr>
            <w:r w:rsidRPr="00836626">
              <w:rPr>
                <w:rFonts w:ascii="Arial" w:hAnsi="Arial" w:cs="Arial"/>
              </w:rPr>
              <w:t>60</w:t>
            </w:r>
            <w:r w:rsidR="00B16FD7">
              <w:rPr>
                <w:rFonts w:ascii="Arial" w:hAnsi="Arial" w:cs="Arial"/>
              </w:rPr>
              <w:t xml:space="preserve"> </w:t>
            </w:r>
            <w:r w:rsidRPr="00836626">
              <w:rPr>
                <w:rFonts w:ascii="Arial" w:hAnsi="Arial" w:cs="Arial"/>
              </w:rPr>
              <w:t>-</w:t>
            </w:r>
            <w:r w:rsidR="00B16FD7">
              <w:rPr>
                <w:rFonts w:ascii="Arial" w:hAnsi="Arial" w:cs="Arial"/>
              </w:rPr>
              <w:t xml:space="preserve"> </w:t>
            </w:r>
            <w:r w:rsidRPr="00836626">
              <w:rPr>
                <w:rFonts w:ascii="Arial" w:hAnsi="Arial" w:cs="Arial"/>
              </w:rPr>
              <w:t>80</w:t>
            </w:r>
          </w:p>
          <w:p w:rsidR="00A133A9" w:rsidRPr="00836626" w:rsidRDefault="00A133A9" w:rsidP="00C22EE3">
            <w:pPr>
              <w:tabs>
                <w:tab w:val="left" w:pos="0"/>
              </w:tabs>
              <w:spacing w:after="0" w:line="240" w:lineRule="auto"/>
              <w:jc w:val="right"/>
              <w:rPr>
                <w:rFonts w:ascii="Arial" w:hAnsi="Arial" w:cs="Arial"/>
              </w:rPr>
            </w:pPr>
            <w:r w:rsidRPr="00836626">
              <w:rPr>
                <w:rFonts w:ascii="Arial" w:hAnsi="Arial" w:cs="Arial"/>
              </w:rPr>
              <w:t>830</w:t>
            </w:r>
            <w:r w:rsidR="00B16FD7">
              <w:rPr>
                <w:rFonts w:ascii="Arial" w:hAnsi="Arial" w:cs="Arial"/>
              </w:rPr>
              <w:t xml:space="preserve"> </w:t>
            </w:r>
            <w:r w:rsidRPr="00836626">
              <w:rPr>
                <w:rFonts w:ascii="Arial" w:hAnsi="Arial" w:cs="Arial"/>
              </w:rPr>
              <w:t>-</w:t>
            </w:r>
            <w:r w:rsidR="00B16FD7">
              <w:rPr>
                <w:rFonts w:ascii="Arial" w:hAnsi="Arial" w:cs="Arial"/>
              </w:rPr>
              <w:t xml:space="preserve"> </w:t>
            </w:r>
            <w:r w:rsidRPr="00836626">
              <w:rPr>
                <w:rFonts w:ascii="Arial" w:hAnsi="Arial" w:cs="Arial"/>
              </w:rPr>
              <w:t>850</w:t>
            </w:r>
          </w:p>
          <w:p w:rsidR="00A133A9" w:rsidRPr="00836626" w:rsidRDefault="00A133A9" w:rsidP="00C22EE3">
            <w:pPr>
              <w:tabs>
                <w:tab w:val="left" w:pos="0"/>
              </w:tabs>
              <w:spacing w:after="0" w:line="240" w:lineRule="auto"/>
              <w:jc w:val="right"/>
              <w:rPr>
                <w:rFonts w:ascii="Arial" w:hAnsi="Arial" w:cs="Arial"/>
              </w:rPr>
            </w:pPr>
            <w:r w:rsidRPr="00836626">
              <w:rPr>
                <w:rFonts w:ascii="Arial" w:hAnsi="Arial" w:cs="Arial"/>
              </w:rPr>
              <w:t>1.100</w:t>
            </w:r>
            <w:r w:rsidR="00B16FD7">
              <w:rPr>
                <w:rFonts w:ascii="Arial" w:hAnsi="Arial" w:cs="Arial"/>
              </w:rPr>
              <w:t xml:space="preserve"> </w:t>
            </w:r>
            <w:r w:rsidRPr="00836626">
              <w:rPr>
                <w:rFonts w:ascii="Arial" w:hAnsi="Arial" w:cs="Arial"/>
              </w:rPr>
              <w:t>-</w:t>
            </w:r>
            <w:r w:rsidR="00B16FD7">
              <w:rPr>
                <w:rFonts w:ascii="Arial" w:hAnsi="Arial" w:cs="Arial"/>
              </w:rPr>
              <w:t xml:space="preserve"> </w:t>
            </w:r>
            <w:r w:rsidRPr="00836626">
              <w:rPr>
                <w:rFonts w:ascii="Arial" w:hAnsi="Arial" w:cs="Arial"/>
              </w:rPr>
              <w:t>1.200</w:t>
            </w:r>
          </w:p>
        </w:tc>
      </w:tr>
    </w:tbl>
    <w:p w:rsidR="00A133A9" w:rsidRPr="00836626" w:rsidRDefault="00A133A9" w:rsidP="001201AE">
      <w:pPr>
        <w:tabs>
          <w:tab w:val="left" w:pos="0"/>
        </w:tabs>
        <w:spacing w:after="0"/>
        <w:rPr>
          <w:rFonts w:ascii="Arial" w:hAnsi="Arial" w:cs="Arial"/>
          <w:i/>
          <w:sz w:val="20"/>
          <w:szCs w:val="20"/>
        </w:rPr>
      </w:pPr>
      <w:r w:rsidRPr="00836626">
        <w:rPr>
          <w:rFonts w:ascii="Arial" w:hAnsi="Arial" w:cs="Arial"/>
          <w:i/>
          <w:sz w:val="20"/>
          <w:szCs w:val="20"/>
        </w:rPr>
        <w:t>Sumber : Kementerian Keuangan RI</w:t>
      </w:r>
      <w:r w:rsidRPr="00836626">
        <w:rPr>
          <w:rFonts w:ascii="Arial" w:hAnsi="Arial" w:cs="Arial"/>
          <w:i/>
          <w:sz w:val="20"/>
          <w:szCs w:val="20"/>
          <w:lang w:val="en-US"/>
        </w:rPr>
        <w:t>, 201</w:t>
      </w:r>
      <w:r w:rsidRPr="00836626">
        <w:rPr>
          <w:rFonts w:ascii="Arial" w:hAnsi="Arial" w:cs="Arial"/>
          <w:i/>
          <w:sz w:val="20"/>
          <w:szCs w:val="20"/>
        </w:rPr>
        <w:t>5</w:t>
      </w:r>
    </w:p>
    <w:p w:rsidR="00792571" w:rsidRPr="00836626" w:rsidRDefault="00792571" w:rsidP="00792571">
      <w:pPr>
        <w:numPr>
          <w:ilvl w:val="1"/>
          <w:numId w:val="4"/>
        </w:numPr>
        <w:tabs>
          <w:tab w:val="left" w:pos="540"/>
        </w:tabs>
        <w:spacing w:before="240" w:after="120" w:line="240" w:lineRule="auto"/>
        <w:ind w:left="357" w:hanging="357"/>
        <w:jc w:val="both"/>
        <w:rPr>
          <w:rFonts w:ascii="Arial" w:hAnsi="Arial" w:cs="Arial"/>
          <w:b/>
          <w:sz w:val="24"/>
          <w:szCs w:val="24"/>
        </w:rPr>
      </w:pPr>
      <w:r w:rsidRPr="00836626">
        <w:rPr>
          <w:rFonts w:ascii="Arial" w:hAnsi="Arial" w:cs="Arial"/>
          <w:b/>
          <w:sz w:val="24"/>
          <w:szCs w:val="24"/>
        </w:rPr>
        <w:t xml:space="preserve">. Asumsi Dasar Indikator Ekonomi Makro </w:t>
      </w:r>
      <w:r w:rsidR="00836626">
        <w:rPr>
          <w:rFonts w:ascii="Arial" w:hAnsi="Arial" w:cs="Arial"/>
          <w:b/>
          <w:sz w:val="24"/>
          <w:szCs w:val="24"/>
        </w:rPr>
        <w:t>Kota Payakumbuh</w:t>
      </w:r>
      <w:r w:rsidRPr="00836626">
        <w:rPr>
          <w:rFonts w:ascii="Arial" w:hAnsi="Arial" w:cs="Arial"/>
          <w:b/>
          <w:sz w:val="24"/>
          <w:szCs w:val="24"/>
        </w:rPr>
        <w:t xml:space="preserve"> Tahun 2016</w:t>
      </w:r>
    </w:p>
    <w:p w:rsidR="00792571" w:rsidRPr="00836626" w:rsidRDefault="00792571" w:rsidP="00792571">
      <w:pPr>
        <w:numPr>
          <w:ilvl w:val="4"/>
          <w:numId w:val="2"/>
        </w:numPr>
        <w:tabs>
          <w:tab w:val="clear" w:pos="3600"/>
        </w:tabs>
        <w:spacing w:before="120" w:after="120" w:line="240" w:lineRule="auto"/>
        <w:ind w:left="851" w:hanging="375"/>
        <w:jc w:val="both"/>
        <w:rPr>
          <w:rFonts w:ascii="Arial" w:hAnsi="Arial" w:cs="Arial"/>
          <w:b/>
          <w:sz w:val="24"/>
          <w:szCs w:val="24"/>
        </w:rPr>
      </w:pPr>
      <w:r w:rsidRPr="00836626">
        <w:rPr>
          <w:rFonts w:ascii="Arial" w:hAnsi="Arial" w:cs="Arial"/>
          <w:b/>
          <w:sz w:val="24"/>
          <w:szCs w:val="24"/>
        </w:rPr>
        <w:t xml:space="preserve">Laju Inflasi </w:t>
      </w:r>
      <w:r w:rsidR="00836626">
        <w:rPr>
          <w:rFonts w:ascii="Arial" w:hAnsi="Arial" w:cs="Arial"/>
          <w:b/>
          <w:sz w:val="24"/>
          <w:szCs w:val="24"/>
        </w:rPr>
        <w:t>Kota Payakumbuh</w:t>
      </w:r>
      <w:r w:rsidRPr="00836626">
        <w:rPr>
          <w:rFonts w:ascii="Arial" w:hAnsi="Arial" w:cs="Arial"/>
          <w:b/>
          <w:sz w:val="24"/>
          <w:szCs w:val="24"/>
        </w:rPr>
        <w:t xml:space="preserve"> </w:t>
      </w:r>
    </w:p>
    <w:p w:rsidR="00A133A9" w:rsidRPr="00836626" w:rsidRDefault="00A133A9" w:rsidP="00A133A9">
      <w:pPr>
        <w:pStyle w:val="BodyTextIndent2"/>
        <w:spacing w:before="120" w:line="240" w:lineRule="auto"/>
        <w:ind w:left="851" w:firstLine="589"/>
        <w:rPr>
          <w:rFonts w:ascii="Arial" w:hAnsi="Arial" w:cs="Arial"/>
          <w:sz w:val="24"/>
          <w:szCs w:val="24"/>
        </w:rPr>
      </w:pPr>
      <w:r w:rsidRPr="00836626">
        <w:rPr>
          <w:rFonts w:ascii="Arial" w:hAnsi="Arial" w:cs="Arial"/>
          <w:sz w:val="24"/>
          <w:szCs w:val="24"/>
        </w:rPr>
        <w:t xml:space="preserve">Pada tahun 2016 inflasi </w:t>
      </w:r>
      <w:r w:rsidR="00836626">
        <w:rPr>
          <w:rFonts w:ascii="Arial" w:hAnsi="Arial" w:cs="Arial"/>
          <w:sz w:val="24"/>
          <w:szCs w:val="24"/>
        </w:rPr>
        <w:t>Kota Payakumbuh</w:t>
      </w:r>
      <w:r w:rsidRPr="00836626">
        <w:rPr>
          <w:rFonts w:ascii="Arial" w:hAnsi="Arial" w:cs="Arial"/>
          <w:sz w:val="24"/>
          <w:szCs w:val="24"/>
        </w:rPr>
        <w:t xml:space="preserve"> diperkirakan sebesar 10%, terjadinya penurunan laju inflasi sejalan dengan meningkatnya laju pertumbuhan ekonomi. Perkiraan laju inflasi </w:t>
      </w:r>
      <w:r w:rsidR="00836626">
        <w:rPr>
          <w:rFonts w:ascii="Arial" w:hAnsi="Arial" w:cs="Arial"/>
          <w:sz w:val="24"/>
          <w:szCs w:val="24"/>
        </w:rPr>
        <w:t>Kota Payakumbuh</w:t>
      </w:r>
      <w:r w:rsidRPr="00836626">
        <w:rPr>
          <w:rFonts w:ascii="Arial" w:hAnsi="Arial" w:cs="Arial"/>
          <w:sz w:val="24"/>
          <w:szCs w:val="24"/>
        </w:rPr>
        <w:t xml:space="preserve"> tahun 2016 </w:t>
      </w:r>
      <w:r w:rsidR="00AF1D9D">
        <w:rPr>
          <w:rFonts w:ascii="Arial" w:hAnsi="Arial" w:cs="Arial"/>
          <w:sz w:val="24"/>
          <w:szCs w:val="24"/>
        </w:rPr>
        <w:t>di atas</w:t>
      </w:r>
      <w:r w:rsidRPr="00836626">
        <w:rPr>
          <w:rFonts w:ascii="Arial" w:hAnsi="Arial" w:cs="Arial"/>
          <w:sz w:val="24"/>
          <w:szCs w:val="24"/>
        </w:rPr>
        <w:t xml:space="preserve"> perkiraan inflasi nasional yaitu berkisar </w:t>
      </w:r>
      <w:r w:rsidR="00836626">
        <w:rPr>
          <w:rFonts w:ascii="Arial" w:hAnsi="Arial" w:cs="Arial"/>
          <w:sz w:val="24"/>
          <w:szCs w:val="24"/>
        </w:rPr>
        <w:t>3 - 5</w:t>
      </w:r>
      <w:r w:rsidRPr="00836626">
        <w:rPr>
          <w:rFonts w:ascii="Arial" w:hAnsi="Arial" w:cs="Arial"/>
          <w:sz w:val="24"/>
          <w:szCs w:val="24"/>
        </w:rPr>
        <w:t xml:space="preserve">%. </w:t>
      </w:r>
    </w:p>
    <w:p w:rsidR="00A133A9" w:rsidRPr="00836626" w:rsidRDefault="00A133A9" w:rsidP="00A133A9">
      <w:pPr>
        <w:pStyle w:val="BodyTextIndent2"/>
        <w:spacing w:before="120" w:after="0" w:line="240" w:lineRule="auto"/>
        <w:ind w:left="851" w:firstLine="590"/>
        <w:rPr>
          <w:rFonts w:ascii="Arial" w:hAnsi="Arial" w:cs="Arial"/>
          <w:sz w:val="24"/>
          <w:szCs w:val="24"/>
        </w:rPr>
      </w:pPr>
      <w:r w:rsidRPr="00836626">
        <w:rPr>
          <w:rFonts w:ascii="Arial" w:hAnsi="Arial" w:cs="Arial"/>
          <w:sz w:val="24"/>
          <w:szCs w:val="24"/>
        </w:rPr>
        <w:t xml:space="preserve">Perkiraan laju inflasi </w:t>
      </w:r>
      <w:r w:rsidR="00836626">
        <w:rPr>
          <w:rFonts w:ascii="Arial" w:hAnsi="Arial" w:cs="Arial"/>
          <w:sz w:val="24"/>
          <w:szCs w:val="24"/>
        </w:rPr>
        <w:t>Kota Payakumbuh</w:t>
      </w:r>
      <w:r w:rsidRPr="00836626">
        <w:rPr>
          <w:rFonts w:ascii="Arial" w:hAnsi="Arial" w:cs="Arial"/>
          <w:sz w:val="24"/>
          <w:szCs w:val="24"/>
        </w:rPr>
        <w:t xml:space="preserve"> tahun 2016 didasari atas asumsi sebagai berikut</w:t>
      </w:r>
      <w:r w:rsidRPr="00836626">
        <w:rPr>
          <w:rFonts w:ascii="Arial" w:hAnsi="Arial" w:cs="Arial"/>
          <w:sz w:val="24"/>
          <w:szCs w:val="24"/>
          <w:lang w:val="en-US"/>
        </w:rPr>
        <w:t xml:space="preserve"> </w:t>
      </w:r>
      <w:r w:rsidRPr="00836626">
        <w:rPr>
          <w:rFonts w:ascii="Arial" w:hAnsi="Arial" w:cs="Arial"/>
          <w:sz w:val="24"/>
          <w:szCs w:val="24"/>
        </w:rPr>
        <w:t xml:space="preserve">: </w:t>
      </w:r>
    </w:p>
    <w:p w:rsidR="00A133A9" w:rsidRPr="00836626" w:rsidRDefault="00A133A9" w:rsidP="00A133A9">
      <w:pPr>
        <w:pStyle w:val="BodyTextIndent2"/>
        <w:numPr>
          <w:ilvl w:val="1"/>
          <w:numId w:val="1"/>
        </w:numPr>
        <w:tabs>
          <w:tab w:val="clear" w:pos="720"/>
        </w:tabs>
        <w:spacing w:before="60" w:after="60" w:line="240" w:lineRule="auto"/>
        <w:ind w:left="1276" w:hanging="425"/>
        <w:rPr>
          <w:rFonts w:ascii="Arial" w:hAnsi="Arial" w:cs="Arial"/>
          <w:sz w:val="24"/>
          <w:szCs w:val="24"/>
        </w:rPr>
      </w:pPr>
      <w:r w:rsidRPr="00836626">
        <w:rPr>
          <w:rFonts w:ascii="Arial" w:hAnsi="Arial" w:cs="Arial"/>
          <w:sz w:val="24"/>
          <w:szCs w:val="24"/>
        </w:rPr>
        <w:t xml:space="preserve">Melalui penguatan postur APBN tahun 2016 dan APBD Provinsi tahun 2016 serta APBD </w:t>
      </w:r>
      <w:r w:rsidR="00836626">
        <w:rPr>
          <w:rFonts w:ascii="Arial" w:hAnsi="Arial" w:cs="Arial"/>
          <w:sz w:val="24"/>
          <w:szCs w:val="24"/>
        </w:rPr>
        <w:t>Kota Payakumbuh</w:t>
      </w:r>
      <w:r w:rsidRPr="00836626">
        <w:rPr>
          <w:rFonts w:ascii="Arial" w:hAnsi="Arial" w:cs="Arial"/>
          <w:sz w:val="24"/>
          <w:szCs w:val="24"/>
        </w:rPr>
        <w:t xml:space="preserve"> yang berorientasi pada ekonomi kerakyatan;</w:t>
      </w:r>
    </w:p>
    <w:p w:rsidR="00A133A9" w:rsidRPr="00836626" w:rsidRDefault="00A133A9" w:rsidP="00A133A9">
      <w:pPr>
        <w:numPr>
          <w:ilvl w:val="1"/>
          <w:numId w:val="1"/>
        </w:numPr>
        <w:tabs>
          <w:tab w:val="clear" w:pos="720"/>
        </w:tabs>
        <w:spacing w:before="60" w:after="60" w:line="240" w:lineRule="auto"/>
        <w:ind w:left="1276" w:hanging="426"/>
        <w:jc w:val="both"/>
        <w:rPr>
          <w:rFonts w:ascii="Arial" w:eastAsia="Times New Roman" w:hAnsi="Arial" w:cs="Arial"/>
          <w:sz w:val="24"/>
          <w:szCs w:val="24"/>
          <w:lang w:eastAsia="id-ID"/>
        </w:rPr>
      </w:pPr>
      <w:r w:rsidRPr="00836626">
        <w:rPr>
          <w:rFonts w:ascii="Arial" w:eastAsia="Times New Roman" w:hAnsi="Arial" w:cs="Arial"/>
          <w:sz w:val="24"/>
          <w:szCs w:val="24"/>
          <w:lang w:eastAsia="id-ID"/>
        </w:rPr>
        <w:t>Adanya upaya perbaikan pasokan dan distribusi;</w:t>
      </w:r>
    </w:p>
    <w:p w:rsidR="00A133A9" w:rsidRPr="00836626" w:rsidRDefault="00A133A9" w:rsidP="00A133A9">
      <w:pPr>
        <w:numPr>
          <w:ilvl w:val="1"/>
          <w:numId w:val="1"/>
        </w:numPr>
        <w:tabs>
          <w:tab w:val="clear" w:pos="720"/>
        </w:tabs>
        <w:spacing w:before="60" w:after="60" w:line="240" w:lineRule="auto"/>
        <w:ind w:left="1276" w:hanging="426"/>
        <w:jc w:val="both"/>
        <w:rPr>
          <w:rFonts w:ascii="Arial" w:eastAsia="Times New Roman" w:hAnsi="Arial" w:cs="Arial"/>
          <w:sz w:val="24"/>
          <w:szCs w:val="24"/>
          <w:lang w:eastAsia="id-ID"/>
        </w:rPr>
      </w:pPr>
      <w:r w:rsidRPr="00836626">
        <w:rPr>
          <w:rFonts w:ascii="Arial" w:eastAsia="Times New Roman" w:hAnsi="Arial" w:cs="Arial"/>
          <w:sz w:val="24"/>
          <w:szCs w:val="24"/>
          <w:lang w:eastAsia="id-ID"/>
        </w:rPr>
        <w:t>Pemerintah akan terus mengupayakan peningkatan pasokan dan distribusi bahan pangan, seperti melalui perluasan areal pertanian dan perkebunan, perbaikan peraturan pengendalian alih fungsi lahan, perbaikan irigasi, peningkatan produksi melalui bibit unggul dan benih, peningkatan jumlah kapal penangkapan ikan, penataan jalur distribusi dan sistem logistik nasional (silognas), serta program lain terkait dengan implementasi 9 (sembilan) agenda prioritas nasional (NAWACITA);</w:t>
      </w:r>
    </w:p>
    <w:p w:rsidR="00A133A9" w:rsidRPr="00836626" w:rsidRDefault="00A133A9" w:rsidP="00A133A9">
      <w:pPr>
        <w:numPr>
          <w:ilvl w:val="1"/>
          <w:numId w:val="1"/>
        </w:numPr>
        <w:tabs>
          <w:tab w:val="clear" w:pos="720"/>
        </w:tabs>
        <w:spacing w:before="60" w:after="120" w:line="240" w:lineRule="auto"/>
        <w:ind w:left="1276" w:hanging="425"/>
        <w:jc w:val="both"/>
        <w:rPr>
          <w:rFonts w:ascii="Arial" w:eastAsia="Times New Roman" w:hAnsi="Arial" w:cs="Arial"/>
          <w:sz w:val="24"/>
          <w:szCs w:val="24"/>
          <w:lang w:eastAsia="id-ID"/>
        </w:rPr>
      </w:pPr>
      <w:r w:rsidRPr="00836626">
        <w:rPr>
          <w:rFonts w:ascii="Arial" w:eastAsia="Times New Roman" w:hAnsi="Arial" w:cs="Arial"/>
          <w:sz w:val="24"/>
          <w:szCs w:val="24"/>
          <w:lang w:eastAsia="id-ID"/>
        </w:rPr>
        <w:t>Alokasi anggaran dan dana cadangan dalam rangka menjaga ketahanan pangan dan stabilisasi harga akan tetap dilanjutkan serta alokasi dana cadangan untuk melakukan operasi pasar dan penyediaan beras untuk rakyat miskin. Alokasi dana cadangan juga disediakan untuk mengantisipasi tekanan kelangkaan bahan pangan di pasar domestik</w:t>
      </w:r>
      <w:r w:rsidRPr="00836626">
        <w:rPr>
          <w:rFonts w:ascii="Arial" w:eastAsia="Times New Roman" w:hAnsi="Arial" w:cs="Arial"/>
          <w:sz w:val="24"/>
          <w:szCs w:val="24"/>
          <w:lang w:val="en-US" w:eastAsia="id-ID"/>
        </w:rPr>
        <w:t xml:space="preserve">, </w:t>
      </w:r>
      <w:r w:rsidRPr="00836626">
        <w:rPr>
          <w:rFonts w:ascii="Arial" w:eastAsia="Times New Roman" w:hAnsi="Arial" w:cs="Arial"/>
          <w:sz w:val="24"/>
          <w:szCs w:val="24"/>
          <w:lang w:eastAsia="id-ID"/>
        </w:rPr>
        <w:t>koordinasi kebijakan fiskal, moneter, dan sektor riil yang semakin baik yang didukung oleh semakin meningkatnya kesadaran pemerintah daerah dalam upaya pengendalian inflasi diharapkan dapat menciptakan kestabilan harga di dalam negeri.</w:t>
      </w:r>
    </w:p>
    <w:p w:rsidR="00A133A9" w:rsidRPr="00836626" w:rsidRDefault="00A133A9" w:rsidP="00A133A9">
      <w:pPr>
        <w:spacing w:before="60" w:after="120" w:line="240" w:lineRule="auto"/>
        <w:jc w:val="both"/>
        <w:rPr>
          <w:rFonts w:ascii="Arial" w:eastAsia="Times New Roman" w:hAnsi="Arial" w:cs="Arial"/>
          <w:sz w:val="24"/>
          <w:szCs w:val="24"/>
          <w:lang w:eastAsia="id-ID"/>
        </w:rPr>
      </w:pPr>
    </w:p>
    <w:p w:rsidR="00A133A9" w:rsidRPr="00836626" w:rsidRDefault="00A133A9" w:rsidP="00A133A9">
      <w:pPr>
        <w:spacing w:before="60" w:after="120" w:line="240" w:lineRule="auto"/>
        <w:jc w:val="both"/>
        <w:rPr>
          <w:rFonts w:ascii="Arial" w:eastAsia="Times New Roman" w:hAnsi="Arial" w:cs="Arial"/>
          <w:sz w:val="24"/>
          <w:szCs w:val="24"/>
          <w:lang w:eastAsia="id-ID"/>
        </w:rPr>
      </w:pPr>
    </w:p>
    <w:p w:rsidR="00A133A9" w:rsidRPr="00836626" w:rsidRDefault="00A133A9" w:rsidP="00A133A9">
      <w:pPr>
        <w:spacing w:before="60" w:after="120" w:line="240" w:lineRule="auto"/>
        <w:jc w:val="both"/>
        <w:rPr>
          <w:rFonts w:ascii="Arial" w:eastAsia="Times New Roman" w:hAnsi="Arial" w:cs="Arial"/>
          <w:sz w:val="24"/>
          <w:szCs w:val="24"/>
          <w:lang w:eastAsia="id-ID"/>
        </w:rPr>
      </w:pPr>
    </w:p>
    <w:p w:rsidR="00A133A9" w:rsidRPr="00836626" w:rsidRDefault="00A133A9" w:rsidP="00A133A9">
      <w:pPr>
        <w:spacing w:before="60" w:after="120" w:line="240" w:lineRule="auto"/>
        <w:jc w:val="both"/>
        <w:rPr>
          <w:rFonts w:ascii="Arial" w:eastAsia="Times New Roman" w:hAnsi="Arial" w:cs="Arial"/>
          <w:sz w:val="24"/>
          <w:szCs w:val="24"/>
          <w:lang w:eastAsia="id-ID"/>
        </w:rPr>
      </w:pPr>
    </w:p>
    <w:p w:rsidR="00A133A9" w:rsidRPr="00836626" w:rsidRDefault="00A133A9" w:rsidP="00A133A9">
      <w:pPr>
        <w:pStyle w:val="BodyTextIndent2"/>
        <w:numPr>
          <w:ilvl w:val="4"/>
          <w:numId w:val="2"/>
        </w:numPr>
        <w:tabs>
          <w:tab w:val="clear" w:pos="3600"/>
        </w:tabs>
        <w:spacing w:before="120" w:line="240" w:lineRule="auto"/>
        <w:ind w:left="851" w:hanging="346"/>
        <w:rPr>
          <w:rFonts w:ascii="Arial" w:hAnsi="Arial" w:cs="Arial"/>
          <w:b/>
          <w:sz w:val="24"/>
          <w:szCs w:val="24"/>
        </w:rPr>
      </w:pPr>
      <w:r w:rsidRPr="00836626">
        <w:rPr>
          <w:rFonts w:ascii="Arial" w:hAnsi="Arial" w:cs="Arial"/>
          <w:b/>
          <w:sz w:val="24"/>
          <w:szCs w:val="24"/>
        </w:rPr>
        <w:lastRenderedPageBreak/>
        <w:t xml:space="preserve">Pertumbuhan PDRB </w:t>
      </w:r>
      <w:r w:rsidR="00836626">
        <w:rPr>
          <w:rFonts w:ascii="Arial" w:hAnsi="Arial" w:cs="Arial"/>
          <w:b/>
          <w:sz w:val="24"/>
          <w:szCs w:val="24"/>
        </w:rPr>
        <w:t>Kota Payakumbuh</w:t>
      </w:r>
      <w:r w:rsidRPr="00836626">
        <w:rPr>
          <w:rFonts w:ascii="Arial" w:hAnsi="Arial" w:cs="Arial"/>
          <w:b/>
          <w:sz w:val="24"/>
          <w:szCs w:val="24"/>
        </w:rPr>
        <w:t xml:space="preserve"> </w:t>
      </w:r>
    </w:p>
    <w:p w:rsidR="00A133A9" w:rsidRPr="00836626" w:rsidRDefault="00A133A9" w:rsidP="00A133A9">
      <w:pPr>
        <w:pStyle w:val="BodyTextIndent2"/>
        <w:spacing w:before="120" w:line="240" w:lineRule="auto"/>
        <w:ind w:left="851" w:firstLine="284"/>
        <w:rPr>
          <w:rFonts w:ascii="Arial" w:hAnsi="Arial" w:cs="Arial"/>
          <w:sz w:val="24"/>
          <w:szCs w:val="24"/>
        </w:rPr>
      </w:pPr>
      <w:r w:rsidRPr="00836626">
        <w:rPr>
          <w:rFonts w:ascii="Arial" w:hAnsi="Arial" w:cs="Arial"/>
          <w:b/>
          <w:sz w:val="24"/>
          <w:szCs w:val="24"/>
        </w:rPr>
        <w:tab/>
      </w:r>
      <w:r w:rsidRPr="00836626">
        <w:rPr>
          <w:rFonts w:ascii="Arial" w:hAnsi="Arial" w:cs="Arial"/>
          <w:sz w:val="24"/>
          <w:szCs w:val="24"/>
        </w:rPr>
        <w:t xml:space="preserve">Dengan asumsi APBN tahun 2016 sebagaimana dijelaskan sebelumnya maka target pertumbuhan PDRB </w:t>
      </w:r>
      <w:r w:rsidR="00836626">
        <w:rPr>
          <w:rFonts w:ascii="Arial" w:hAnsi="Arial" w:cs="Arial"/>
          <w:sz w:val="24"/>
          <w:szCs w:val="24"/>
        </w:rPr>
        <w:t>Kota Payakumbuh</w:t>
      </w:r>
      <w:r w:rsidR="00836626" w:rsidRPr="00836626">
        <w:rPr>
          <w:rFonts w:ascii="Arial" w:hAnsi="Arial" w:cs="Arial"/>
          <w:sz w:val="24"/>
          <w:szCs w:val="24"/>
        </w:rPr>
        <w:t xml:space="preserve"> direncanakan sebesar 6,9%</w:t>
      </w:r>
      <w:r w:rsidRPr="00836626">
        <w:rPr>
          <w:rFonts w:ascii="Arial" w:hAnsi="Arial" w:cs="Arial"/>
          <w:sz w:val="24"/>
          <w:szCs w:val="24"/>
        </w:rPr>
        <w:t>. Target pertumbuhan PDRB tersebut didasari asumsi antara lain</w:t>
      </w:r>
      <w:r w:rsidRPr="00836626">
        <w:rPr>
          <w:rFonts w:ascii="Arial" w:hAnsi="Arial" w:cs="Arial"/>
          <w:sz w:val="24"/>
          <w:szCs w:val="24"/>
          <w:lang w:val="en-US"/>
        </w:rPr>
        <w:t xml:space="preserve"> </w:t>
      </w:r>
      <w:r w:rsidRPr="00836626">
        <w:rPr>
          <w:rFonts w:ascii="Arial" w:hAnsi="Arial" w:cs="Arial"/>
          <w:sz w:val="24"/>
          <w:szCs w:val="24"/>
        </w:rPr>
        <w:t>:</w:t>
      </w:r>
    </w:p>
    <w:p w:rsidR="00A133A9" w:rsidRPr="00836626" w:rsidRDefault="00A133A9" w:rsidP="00E27F3B">
      <w:pPr>
        <w:pStyle w:val="BodyTextIndent2"/>
        <w:numPr>
          <w:ilvl w:val="0"/>
          <w:numId w:val="5"/>
        </w:numPr>
        <w:spacing w:before="120" w:line="240" w:lineRule="auto"/>
        <w:ind w:left="1276" w:hanging="425"/>
        <w:rPr>
          <w:rFonts w:ascii="Arial" w:hAnsi="Arial" w:cs="Arial"/>
          <w:sz w:val="24"/>
          <w:szCs w:val="24"/>
        </w:rPr>
      </w:pPr>
      <w:r w:rsidRPr="00836626">
        <w:rPr>
          <w:rFonts w:ascii="Arial" w:hAnsi="Arial" w:cs="Arial"/>
          <w:sz w:val="24"/>
          <w:szCs w:val="24"/>
        </w:rPr>
        <w:t xml:space="preserve">Membaiknya </w:t>
      </w:r>
      <w:r w:rsidRPr="00836626">
        <w:rPr>
          <w:rFonts w:ascii="Arial" w:hAnsi="Arial" w:cs="Arial"/>
          <w:sz w:val="24"/>
          <w:szCs w:val="24"/>
          <w:lang w:eastAsia="id-ID"/>
        </w:rPr>
        <w:t>ekonomi di berbagai negara, seperti di Amerika Serikat, Jepang, Tiongkok dan negara maju lainnya. Lembaga-lembaga dan institusi internasional, seperti Dana Moneter Internasi</w:t>
      </w:r>
      <w:r w:rsidR="00161C6B">
        <w:rPr>
          <w:rFonts w:ascii="Arial" w:hAnsi="Arial" w:cs="Arial"/>
          <w:sz w:val="24"/>
          <w:szCs w:val="24"/>
          <w:lang w:eastAsia="id-ID"/>
        </w:rPr>
        <w:t>onal, Bank Dunia</w:t>
      </w:r>
      <w:r w:rsidRPr="00836626">
        <w:rPr>
          <w:rFonts w:ascii="Arial" w:hAnsi="Arial" w:cs="Arial"/>
          <w:sz w:val="24"/>
          <w:szCs w:val="24"/>
          <w:lang w:eastAsia="id-ID"/>
        </w:rPr>
        <w:t xml:space="preserve"> dan Organisasi untuk Kerjasama dan Pembangunan Ekonomi, memiliki prediksi serupa terhadap perbaikan ekonomi global. Hal ini berdampak pada perekonomian Indonesia;</w:t>
      </w:r>
    </w:p>
    <w:p w:rsidR="00A133A9" w:rsidRPr="00836626" w:rsidRDefault="00A133A9" w:rsidP="00E27F3B">
      <w:pPr>
        <w:pStyle w:val="BodyTextIndent2"/>
        <w:numPr>
          <w:ilvl w:val="0"/>
          <w:numId w:val="5"/>
        </w:numPr>
        <w:spacing w:before="120" w:line="240" w:lineRule="auto"/>
        <w:ind w:left="1276" w:hanging="425"/>
        <w:rPr>
          <w:rFonts w:ascii="Arial" w:hAnsi="Arial" w:cs="Arial"/>
          <w:sz w:val="24"/>
          <w:szCs w:val="24"/>
        </w:rPr>
      </w:pPr>
      <w:r w:rsidRPr="00836626">
        <w:rPr>
          <w:rFonts w:ascii="Arial" w:hAnsi="Arial" w:cs="Arial"/>
          <w:sz w:val="24"/>
          <w:szCs w:val="24"/>
          <w:lang w:eastAsia="id-ID"/>
        </w:rPr>
        <w:t>Stabilitas dan fundamental ekonomi nasional mulai membaik, adanya upaya pemerintah untuk meningkatkan daya beli masyarakat, kualitas penyerapan anggaran, serta mempercepat pembangunan infrastruktur melalui investasi swasta. Kebijakan ekspor diarahkan pada peningkatan ekspor produk non-migas dan jasa yang bernilai tambah;</w:t>
      </w:r>
    </w:p>
    <w:p w:rsidR="00792571" w:rsidRPr="00836626" w:rsidRDefault="00A133A9" w:rsidP="00E27F3B">
      <w:pPr>
        <w:pStyle w:val="BodyTextIndent2"/>
        <w:numPr>
          <w:ilvl w:val="0"/>
          <w:numId w:val="5"/>
        </w:numPr>
        <w:spacing w:before="120" w:line="240" w:lineRule="auto"/>
        <w:ind w:left="1276" w:hanging="425"/>
        <w:rPr>
          <w:rFonts w:ascii="Arial" w:hAnsi="Arial" w:cs="Arial"/>
          <w:sz w:val="24"/>
          <w:szCs w:val="24"/>
        </w:rPr>
      </w:pPr>
      <w:r w:rsidRPr="00836626">
        <w:rPr>
          <w:rFonts w:ascii="Arial" w:hAnsi="Arial" w:cs="Arial"/>
          <w:sz w:val="24"/>
          <w:szCs w:val="24"/>
        </w:rPr>
        <w:t xml:space="preserve">Peningkatan sektor perdagangan, industri olahan, hotel dan restoran dan sektor keuangan, persewaan dan jasa perusahaan serta sektor jasa-jasa lainnya. Di samping itu, pertumbuhan PDRB </w:t>
      </w:r>
      <w:r w:rsidR="00836626">
        <w:rPr>
          <w:rFonts w:ascii="Arial" w:hAnsi="Arial" w:cs="Arial"/>
          <w:sz w:val="24"/>
          <w:szCs w:val="24"/>
        </w:rPr>
        <w:t>Kota Payakumbuh</w:t>
      </w:r>
      <w:r w:rsidRPr="00836626">
        <w:rPr>
          <w:rFonts w:ascii="Arial" w:hAnsi="Arial" w:cs="Arial"/>
          <w:sz w:val="24"/>
          <w:szCs w:val="24"/>
        </w:rPr>
        <w:t xml:space="preserve"> dapat juga ditingkatkan melalui kinerja pemerintah daerah melalui APBD </w:t>
      </w:r>
      <w:r w:rsidR="00836626">
        <w:rPr>
          <w:rFonts w:ascii="Arial" w:hAnsi="Arial" w:cs="Arial"/>
          <w:sz w:val="24"/>
          <w:szCs w:val="24"/>
        </w:rPr>
        <w:t>Kota Payakumbuh</w:t>
      </w:r>
      <w:r w:rsidRPr="00836626">
        <w:rPr>
          <w:rFonts w:ascii="Arial" w:hAnsi="Arial" w:cs="Arial"/>
          <w:sz w:val="24"/>
          <w:szCs w:val="24"/>
        </w:rPr>
        <w:t xml:space="preserve"> tahun 2016.</w:t>
      </w:r>
    </w:p>
    <w:p w:rsidR="00792571" w:rsidRPr="00836626" w:rsidRDefault="00792571" w:rsidP="00792571">
      <w:pPr>
        <w:pStyle w:val="BodyTextIndent2"/>
        <w:spacing w:after="0" w:line="276" w:lineRule="auto"/>
        <w:ind w:left="0" w:firstLine="0"/>
        <w:rPr>
          <w:rFonts w:ascii="Arial" w:hAnsi="Arial" w:cs="Arial"/>
          <w:color w:val="000000"/>
          <w:sz w:val="24"/>
          <w:szCs w:val="24"/>
        </w:rPr>
      </w:pPr>
    </w:p>
    <w:p w:rsidR="00792571" w:rsidRPr="00E27F3B" w:rsidRDefault="00792571" w:rsidP="00E27F3B">
      <w:pPr>
        <w:pStyle w:val="ListParagraph"/>
        <w:numPr>
          <w:ilvl w:val="1"/>
          <w:numId w:val="8"/>
        </w:numPr>
        <w:tabs>
          <w:tab w:val="left" w:pos="540"/>
          <w:tab w:val="left" w:pos="2340"/>
        </w:tabs>
        <w:spacing w:after="120"/>
        <w:rPr>
          <w:rFonts w:ascii="Arial" w:hAnsi="Arial" w:cs="Arial"/>
          <w:b/>
          <w:color w:val="000000"/>
          <w:sz w:val="24"/>
          <w:szCs w:val="24"/>
        </w:rPr>
      </w:pPr>
      <w:r w:rsidRPr="00E27F3B">
        <w:rPr>
          <w:rFonts w:ascii="Arial" w:hAnsi="Arial" w:cs="Arial"/>
          <w:b/>
          <w:color w:val="000000"/>
          <w:sz w:val="24"/>
          <w:szCs w:val="24"/>
        </w:rPr>
        <w:t>Lain – Lain Asumsi</w:t>
      </w:r>
    </w:p>
    <w:p w:rsidR="00E27F3B" w:rsidRPr="00E27F3B" w:rsidRDefault="00E27F3B" w:rsidP="00E27F3B">
      <w:pPr>
        <w:pStyle w:val="ListParagraph"/>
        <w:tabs>
          <w:tab w:val="left" w:pos="540"/>
          <w:tab w:val="left" w:pos="2340"/>
        </w:tabs>
        <w:spacing w:after="0"/>
        <w:ind w:left="357" w:firstLine="0"/>
        <w:contextualSpacing w:val="0"/>
        <w:rPr>
          <w:rFonts w:ascii="Arial" w:hAnsi="Arial" w:cs="Arial"/>
          <w:b/>
          <w:color w:val="000000"/>
          <w:sz w:val="2"/>
          <w:szCs w:val="24"/>
        </w:rPr>
      </w:pPr>
    </w:p>
    <w:p w:rsidR="00E27F3B" w:rsidRPr="00E27F3B" w:rsidRDefault="00E27F3B" w:rsidP="00E27F3B">
      <w:pPr>
        <w:pStyle w:val="ListParagraph"/>
        <w:tabs>
          <w:tab w:val="left" w:pos="2340"/>
        </w:tabs>
        <w:spacing w:before="120" w:after="0" w:line="240" w:lineRule="auto"/>
        <w:ind w:left="567" w:firstLine="851"/>
        <w:contextualSpacing w:val="0"/>
        <w:rPr>
          <w:rFonts w:ascii="Arial" w:hAnsi="Arial" w:cs="Arial"/>
          <w:color w:val="000000"/>
          <w:sz w:val="24"/>
          <w:szCs w:val="24"/>
        </w:rPr>
      </w:pPr>
      <w:r w:rsidRPr="00E27F3B">
        <w:rPr>
          <w:rFonts w:ascii="Arial" w:hAnsi="Arial" w:cs="Arial"/>
          <w:color w:val="000000"/>
          <w:sz w:val="24"/>
          <w:szCs w:val="24"/>
        </w:rPr>
        <w:t xml:space="preserve">Menyikapi kondisi dan </w:t>
      </w:r>
      <w:r>
        <w:rPr>
          <w:rFonts w:ascii="Arial" w:hAnsi="Arial" w:cs="Arial"/>
          <w:color w:val="000000"/>
          <w:sz w:val="24"/>
          <w:szCs w:val="24"/>
        </w:rPr>
        <w:t>situasi perkembangan daerah secara umum, maka selain itu ada juga beberapa asumsi yang perlu dipertimbangkan dalam KUA Kota Payakumbuh Tahun 2016 ini, yaitu :</w:t>
      </w:r>
    </w:p>
    <w:p w:rsidR="009870BD" w:rsidRPr="009870BD" w:rsidRDefault="009870BD" w:rsidP="002C35ED">
      <w:pPr>
        <w:numPr>
          <w:ilvl w:val="0"/>
          <w:numId w:val="6"/>
        </w:numPr>
        <w:spacing w:after="0" w:line="240" w:lineRule="auto"/>
        <w:ind w:left="992" w:hanging="357"/>
        <w:jc w:val="both"/>
        <w:rPr>
          <w:rFonts w:ascii="Arial" w:hAnsi="Arial" w:cs="Arial"/>
          <w:sz w:val="24"/>
          <w:szCs w:val="24"/>
        </w:rPr>
      </w:pPr>
      <w:r w:rsidRPr="009870BD">
        <w:rPr>
          <w:rFonts w:ascii="Arial" w:hAnsi="Arial" w:cs="Arial"/>
          <w:sz w:val="24"/>
          <w:szCs w:val="24"/>
        </w:rPr>
        <w:t>Sesuai dengan peraturan perundang-undangan, Pemerintah Daerah diwajibkan menganggarkan kenaikan gaji bagi PNS dan pembayaran gaji 13 untuk PNS dan CPNS;</w:t>
      </w:r>
    </w:p>
    <w:p w:rsidR="009870BD" w:rsidRPr="009870BD" w:rsidRDefault="009870BD" w:rsidP="002C35ED">
      <w:pPr>
        <w:pStyle w:val="BodyText"/>
        <w:widowControl w:val="0"/>
        <w:numPr>
          <w:ilvl w:val="0"/>
          <w:numId w:val="6"/>
        </w:numPr>
        <w:ind w:left="993" w:right="119" w:hanging="357"/>
        <w:rPr>
          <w:rFonts w:ascii="Arial" w:hAnsi="Arial" w:cs="Arial"/>
          <w:lang w:val="id-ID"/>
        </w:rPr>
      </w:pPr>
      <w:r w:rsidRPr="009870BD">
        <w:rPr>
          <w:rFonts w:ascii="Arial" w:hAnsi="Arial" w:cs="Arial"/>
          <w:lang w:val="id-ID"/>
        </w:rPr>
        <w:t>Belanja Daerah diprioritaskan untuk mendanai belanja yang bersifat mengikat dan belanja yang bersifat wajib untuk terjaminnya kelangsungan pemenuhan pelayanan dasar masyarakat sesuai dengan kebutuhan Tahun Anggaran 2016;</w:t>
      </w:r>
    </w:p>
    <w:p w:rsidR="009870BD" w:rsidRPr="009870BD" w:rsidRDefault="009870BD" w:rsidP="002C35ED">
      <w:pPr>
        <w:numPr>
          <w:ilvl w:val="0"/>
          <w:numId w:val="6"/>
        </w:numPr>
        <w:spacing w:after="0" w:line="240" w:lineRule="auto"/>
        <w:ind w:left="993" w:hanging="357"/>
        <w:jc w:val="both"/>
        <w:rPr>
          <w:rFonts w:ascii="Arial" w:hAnsi="Arial" w:cs="Arial"/>
          <w:sz w:val="24"/>
          <w:szCs w:val="24"/>
        </w:rPr>
      </w:pPr>
      <w:r w:rsidRPr="009870BD">
        <w:rPr>
          <w:rFonts w:ascii="Arial" w:hAnsi="Arial" w:cs="Arial"/>
          <w:sz w:val="24"/>
          <w:szCs w:val="24"/>
        </w:rPr>
        <w:t>Rencana Kenaikan tambahan penghasilan PNSD;</w:t>
      </w:r>
    </w:p>
    <w:p w:rsidR="009870BD" w:rsidRPr="009870BD" w:rsidRDefault="009870BD" w:rsidP="002C35ED">
      <w:pPr>
        <w:numPr>
          <w:ilvl w:val="0"/>
          <w:numId w:val="6"/>
        </w:numPr>
        <w:spacing w:after="0" w:line="240" w:lineRule="auto"/>
        <w:ind w:left="993" w:hanging="357"/>
        <w:jc w:val="both"/>
        <w:rPr>
          <w:rFonts w:ascii="Arial" w:hAnsi="Arial" w:cs="Arial"/>
          <w:sz w:val="24"/>
          <w:szCs w:val="24"/>
        </w:rPr>
      </w:pPr>
      <w:r w:rsidRPr="009870BD">
        <w:rPr>
          <w:rFonts w:ascii="Arial" w:hAnsi="Arial" w:cs="Arial"/>
          <w:sz w:val="24"/>
          <w:szCs w:val="24"/>
        </w:rPr>
        <w:t>Rencana penerimaan CPNSD;</w:t>
      </w:r>
    </w:p>
    <w:p w:rsidR="009870BD" w:rsidRPr="009870BD" w:rsidRDefault="009870BD" w:rsidP="002C35ED">
      <w:pPr>
        <w:numPr>
          <w:ilvl w:val="0"/>
          <w:numId w:val="6"/>
        </w:numPr>
        <w:spacing w:after="0" w:line="240" w:lineRule="auto"/>
        <w:ind w:left="993" w:hanging="357"/>
        <w:jc w:val="both"/>
        <w:rPr>
          <w:rFonts w:ascii="Arial" w:hAnsi="Arial" w:cs="Arial"/>
          <w:sz w:val="24"/>
          <w:szCs w:val="24"/>
        </w:rPr>
      </w:pPr>
      <w:r w:rsidRPr="009870BD">
        <w:rPr>
          <w:rFonts w:ascii="Arial" w:hAnsi="Arial" w:cs="Arial"/>
          <w:sz w:val="24"/>
          <w:szCs w:val="24"/>
        </w:rPr>
        <w:t>Penyediaan dana pendamping untuk Dana Daerah Urusan Bersama (DDUB), seperti DAK Reguler, PNPM, Sanitasi Langsung Berbasis Masyarakat (SLBM);</w:t>
      </w:r>
    </w:p>
    <w:p w:rsidR="00E87EED" w:rsidRPr="00847EBB" w:rsidRDefault="00E87EED" w:rsidP="009870BD">
      <w:pPr>
        <w:tabs>
          <w:tab w:val="left" w:pos="851"/>
        </w:tabs>
        <w:spacing w:after="0" w:line="240" w:lineRule="auto"/>
        <w:ind w:left="850"/>
        <w:jc w:val="both"/>
        <w:rPr>
          <w:rFonts w:ascii="Arial" w:hAnsi="Arial" w:cs="Arial"/>
          <w:sz w:val="24"/>
          <w:szCs w:val="24"/>
        </w:rPr>
      </w:pPr>
    </w:p>
    <w:sectPr w:rsidR="00E87EED" w:rsidRPr="00847EBB" w:rsidSect="00A16EF2">
      <w:headerReference w:type="default" r:id="rId7"/>
      <w:footerReference w:type="default" r:id="rId8"/>
      <w:pgSz w:w="11906" w:h="16838"/>
      <w:pgMar w:top="1418" w:right="1418" w:bottom="1418"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63E0" w:rsidRDefault="003C63E0" w:rsidP="00A16EF2">
      <w:pPr>
        <w:spacing w:after="0" w:line="240" w:lineRule="auto"/>
      </w:pPr>
      <w:r>
        <w:separator/>
      </w:r>
    </w:p>
  </w:endnote>
  <w:endnote w:type="continuationSeparator" w:id="1">
    <w:p w:rsidR="003C63E0" w:rsidRDefault="003C63E0" w:rsidP="00A16EF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6EF2" w:rsidRDefault="00A16EF2">
    <w:pPr>
      <w:pStyle w:val="Footer"/>
      <w:pBdr>
        <w:top w:val="thinThickSmallGap" w:sz="24" w:space="1" w:color="622423" w:themeColor="accent2" w:themeShade="7F"/>
      </w:pBdr>
      <w:rPr>
        <w:rFonts w:asciiTheme="majorHAnsi" w:hAnsiTheme="majorHAnsi"/>
      </w:rPr>
    </w:pPr>
    <w:r w:rsidRPr="00D973B5">
      <w:rPr>
        <w:rFonts w:asciiTheme="majorHAnsi" w:hAnsiTheme="majorHAnsi"/>
        <w:i/>
      </w:rPr>
      <w:t xml:space="preserve">Rancangan Kebijakan Umum APBD </w:t>
    </w:r>
    <w:r w:rsidR="00836626">
      <w:rPr>
        <w:rFonts w:asciiTheme="majorHAnsi" w:hAnsiTheme="majorHAnsi"/>
        <w:i/>
      </w:rPr>
      <w:t>Kota Payakumbuh</w:t>
    </w:r>
    <w:r w:rsidRPr="00D973B5">
      <w:rPr>
        <w:rFonts w:asciiTheme="majorHAnsi" w:hAnsiTheme="majorHAnsi"/>
        <w:i/>
      </w:rPr>
      <w:t xml:space="preserve"> Tahun 2016</w:t>
    </w:r>
    <w:r>
      <w:rPr>
        <w:rFonts w:asciiTheme="majorHAnsi" w:hAnsiTheme="majorHAnsi"/>
      </w:rPr>
      <w:ptab w:relativeTo="margin" w:alignment="right" w:leader="none"/>
    </w:r>
    <w:r>
      <w:rPr>
        <w:rFonts w:asciiTheme="majorHAnsi" w:hAnsiTheme="majorHAnsi"/>
      </w:rPr>
      <w:t xml:space="preserve">III - </w:t>
    </w:r>
    <w:fldSimple w:instr=" PAGE   \* MERGEFORMAT ">
      <w:r w:rsidR="002C35ED" w:rsidRPr="002C35ED">
        <w:rPr>
          <w:rFonts w:asciiTheme="majorHAnsi" w:hAnsiTheme="majorHAnsi"/>
          <w:noProof/>
        </w:rPr>
        <w:t>4</w:t>
      </w:r>
    </w:fldSimple>
  </w:p>
  <w:p w:rsidR="00A16EF2" w:rsidRDefault="00A16EF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63E0" w:rsidRDefault="003C63E0" w:rsidP="00A16EF2">
      <w:pPr>
        <w:spacing w:after="0" w:line="240" w:lineRule="auto"/>
      </w:pPr>
      <w:r>
        <w:separator/>
      </w:r>
    </w:p>
  </w:footnote>
  <w:footnote w:type="continuationSeparator" w:id="1">
    <w:p w:rsidR="003C63E0" w:rsidRDefault="003C63E0" w:rsidP="00A16EF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4F7F" w:rsidRDefault="00FE4F7F">
    <w:pPr>
      <w:pStyle w:val="Header"/>
      <w:jc w:val="center"/>
      <w:rPr>
        <w:color w:val="365F91" w:themeColor="accent1" w:themeShade="BF"/>
      </w:rPr>
    </w:pPr>
  </w:p>
  <w:p w:rsidR="00FE4F7F" w:rsidRDefault="00FE4F7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542A5C"/>
    <w:multiLevelType w:val="multilevel"/>
    <w:tmpl w:val="A2700D0C"/>
    <w:lvl w:ilvl="0">
      <w:start w:val="3"/>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3E5F7525"/>
    <w:multiLevelType w:val="hybridMultilevel"/>
    <w:tmpl w:val="DC08E0B4"/>
    <w:lvl w:ilvl="0" w:tplc="0421000F">
      <w:start w:val="1"/>
      <w:numFmt w:val="decimal"/>
      <w:lvlText w:val="%1."/>
      <w:lvlJc w:val="left"/>
      <w:pPr>
        <w:ind w:left="947" w:hanging="360"/>
      </w:pPr>
    </w:lvl>
    <w:lvl w:ilvl="1" w:tplc="04210019" w:tentative="1">
      <w:start w:val="1"/>
      <w:numFmt w:val="lowerLetter"/>
      <w:lvlText w:val="%2."/>
      <w:lvlJc w:val="left"/>
      <w:pPr>
        <w:ind w:left="1667" w:hanging="360"/>
      </w:pPr>
    </w:lvl>
    <w:lvl w:ilvl="2" w:tplc="0421001B" w:tentative="1">
      <w:start w:val="1"/>
      <w:numFmt w:val="lowerRoman"/>
      <w:lvlText w:val="%3."/>
      <w:lvlJc w:val="right"/>
      <w:pPr>
        <w:ind w:left="2387" w:hanging="180"/>
      </w:pPr>
    </w:lvl>
    <w:lvl w:ilvl="3" w:tplc="0421000F" w:tentative="1">
      <w:start w:val="1"/>
      <w:numFmt w:val="decimal"/>
      <w:lvlText w:val="%4."/>
      <w:lvlJc w:val="left"/>
      <w:pPr>
        <w:ind w:left="3107" w:hanging="360"/>
      </w:pPr>
    </w:lvl>
    <w:lvl w:ilvl="4" w:tplc="04210019" w:tentative="1">
      <w:start w:val="1"/>
      <w:numFmt w:val="lowerLetter"/>
      <w:lvlText w:val="%5."/>
      <w:lvlJc w:val="left"/>
      <w:pPr>
        <w:ind w:left="3827" w:hanging="360"/>
      </w:pPr>
    </w:lvl>
    <w:lvl w:ilvl="5" w:tplc="0421001B" w:tentative="1">
      <w:start w:val="1"/>
      <w:numFmt w:val="lowerRoman"/>
      <w:lvlText w:val="%6."/>
      <w:lvlJc w:val="right"/>
      <w:pPr>
        <w:ind w:left="4547" w:hanging="180"/>
      </w:pPr>
    </w:lvl>
    <w:lvl w:ilvl="6" w:tplc="0421000F" w:tentative="1">
      <w:start w:val="1"/>
      <w:numFmt w:val="decimal"/>
      <w:lvlText w:val="%7."/>
      <w:lvlJc w:val="left"/>
      <w:pPr>
        <w:ind w:left="5267" w:hanging="360"/>
      </w:pPr>
    </w:lvl>
    <w:lvl w:ilvl="7" w:tplc="04210019" w:tentative="1">
      <w:start w:val="1"/>
      <w:numFmt w:val="lowerLetter"/>
      <w:lvlText w:val="%8."/>
      <w:lvlJc w:val="left"/>
      <w:pPr>
        <w:ind w:left="5987" w:hanging="360"/>
      </w:pPr>
    </w:lvl>
    <w:lvl w:ilvl="8" w:tplc="0421001B" w:tentative="1">
      <w:start w:val="1"/>
      <w:numFmt w:val="lowerRoman"/>
      <w:lvlText w:val="%9."/>
      <w:lvlJc w:val="right"/>
      <w:pPr>
        <w:ind w:left="6707" w:hanging="180"/>
      </w:pPr>
    </w:lvl>
  </w:abstractNum>
  <w:abstractNum w:abstractNumId="2">
    <w:nsid w:val="4190763F"/>
    <w:multiLevelType w:val="hybridMultilevel"/>
    <w:tmpl w:val="32880A90"/>
    <w:lvl w:ilvl="0" w:tplc="0409000F">
      <w:start w:val="1"/>
      <w:numFmt w:val="decimal"/>
      <w:lvlText w:val="%1."/>
      <w:lvlJc w:val="left"/>
      <w:pPr>
        <w:tabs>
          <w:tab w:val="num" w:pos="360"/>
        </w:tabs>
        <w:ind w:left="360" w:hanging="360"/>
      </w:pPr>
    </w:lvl>
    <w:lvl w:ilvl="1" w:tplc="A51A83DE">
      <w:start w:val="1"/>
      <w:numFmt w:val="decimal"/>
      <w:lvlText w:val="%2."/>
      <w:lvlJc w:val="left"/>
      <w:pPr>
        <w:tabs>
          <w:tab w:val="num" w:pos="720"/>
        </w:tabs>
        <w:ind w:left="720" w:hanging="360"/>
      </w:pPr>
      <w:rPr>
        <w:b w:val="0"/>
      </w:rPr>
    </w:lvl>
    <w:lvl w:ilvl="2" w:tplc="215C2828">
      <w:start w:val="1"/>
      <w:numFmt w:val="decimal"/>
      <w:lvlText w:val="%3)"/>
      <w:lvlJc w:val="left"/>
      <w:pPr>
        <w:ind w:left="2340" w:hanging="360"/>
      </w:pPr>
      <w:rPr>
        <w:rFonts w:hint="default"/>
      </w:rPr>
    </w:lvl>
    <w:lvl w:ilvl="3" w:tplc="D9C05A36">
      <w:start w:val="1"/>
      <w:numFmt w:val="lowerLetter"/>
      <w:lvlText w:val="%4."/>
      <w:lvlJc w:val="left"/>
      <w:pPr>
        <w:ind w:left="3555" w:hanging="1035"/>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43C8165B"/>
    <w:multiLevelType w:val="hybridMultilevel"/>
    <w:tmpl w:val="9AFC29B8"/>
    <w:lvl w:ilvl="0" w:tplc="7A58ECAA">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57F635B2"/>
    <w:multiLevelType w:val="hybridMultilevel"/>
    <w:tmpl w:val="4ECA1480"/>
    <w:lvl w:ilvl="0" w:tplc="0421000F">
      <w:start w:val="1"/>
      <w:numFmt w:val="decimal"/>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5">
    <w:nsid w:val="662E337C"/>
    <w:multiLevelType w:val="hybridMultilevel"/>
    <w:tmpl w:val="CF163B12"/>
    <w:lvl w:ilvl="0" w:tplc="0409000F">
      <w:start w:val="1"/>
      <w:numFmt w:val="decimal"/>
      <w:lvlText w:val="%1."/>
      <w:lvlJc w:val="left"/>
      <w:pPr>
        <w:tabs>
          <w:tab w:val="num" w:pos="360"/>
        </w:tabs>
        <w:ind w:left="360" w:hanging="360"/>
      </w:pPr>
    </w:lvl>
    <w:lvl w:ilvl="1" w:tplc="04210019">
      <w:start w:val="1"/>
      <w:numFmt w:val="lowerLetter"/>
      <w:lvlText w:val="%2."/>
      <w:lvlJc w:val="left"/>
      <w:pPr>
        <w:tabs>
          <w:tab w:val="num" w:pos="720"/>
        </w:tabs>
        <w:ind w:left="720" w:hanging="360"/>
      </w:pPr>
    </w:lvl>
    <w:lvl w:ilvl="2" w:tplc="215C2828">
      <w:start w:val="1"/>
      <w:numFmt w:val="decimal"/>
      <w:lvlText w:val="%3)"/>
      <w:lvlJc w:val="left"/>
      <w:pPr>
        <w:ind w:left="2340" w:hanging="360"/>
      </w:pPr>
      <w:rPr>
        <w:rFonts w:hint="default"/>
      </w:rPr>
    </w:lvl>
    <w:lvl w:ilvl="3" w:tplc="D9C05A36">
      <w:start w:val="1"/>
      <w:numFmt w:val="lowerLetter"/>
      <w:lvlText w:val="%4."/>
      <w:lvlJc w:val="left"/>
      <w:pPr>
        <w:ind w:left="3555" w:hanging="1035"/>
      </w:pPr>
      <w:rPr>
        <w:rFonts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66BF0434"/>
    <w:multiLevelType w:val="multilevel"/>
    <w:tmpl w:val="D0EA5BE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7">
    <w:nsid w:val="6FCF28A5"/>
    <w:multiLevelType w:val="hybridMultilevel"/>
    <w:tmpl w:val="D6A28C9C"/>
    <w:lvl w:ilvl="0" w:tplc="FB302774">
      <w:start w:val="1"/>
      <w:numFmt w:val="decimal"/>
      <w:lvlText w:val="%1."/>
      <w:lvlJc w:val="left"/>
      <w:pPr>
        <w:ind w:left="1353" w:hanging="360"/>
      </w:pPr>
      <w:rPr>
        <w:rFonts w:hint="default"/>
      </w:rPr>
    </w:lvl>
    <w:lvl w:ilvl="1" w:tplc="04210019">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num w:numId="1">
    <w:abstractNumId w:val="2"/>
  </w:num>
  <w:num w:numId="2">
    <w:abstractNumId w:val="5"/>
  </w:num>
  <w:num w:numId="3">
    <w:abstractNumId w:val="3"/>
  </w:num>
  <w:num w:numId="4">
    <w:abstractNumId w:val="6"/>
  </w:num>
  <w:num w:numId="5">
    <w:abstractNumId w:val="7"/>
  </w:num>
  <w:num w:numId="6">
    <w:abstractNumId w:val="1"/>
  </w:num>
  <w:num w:numId="7">
    <w:abstractNumId w:val="4"/>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36866"/>
  </w:hdrShapeDefaults>
  <w:footnotePr>
    <w:footnote w:id="0"/>
    <w:footnote w:id="1"/>
  </w:footnotePr>
  <w:endnotePr>
    <w:endnote w:id="0"/>
    <w:endnote w:id="1"/>
  </w:endnotePr>
  <w:compat/>
  <w:rsids>
    <w:rsidRoot w:val="00FD7BD1"/>
    <w:rsid w:val="00010745"/>
    <w:rsid w:val="00010D78"/>
    <w:rsid w:val="000160A0"/>
    <w:rsid w:val="00016C02"/>
    <w:rsid w:val="00022907"/>
    <w:rsid w:val="000241B7"/>
    <w:rsid w:val="0002584C"/>
    <w:rsid w:val="00033CCA"/>
    <w:rsid w:val="00037517"/>
    <w:rsid w:val="00054657"/>
    <w:rsid w:val="000559C7"/>
    <w:rsid w:val="00062FE5"/>
    <w:rsid w:val="00064577"/>
    <w:rsid w:val="000700EB"/>
    <w:rsid w:val="00070C5A"/>
    <w:rsid w:val="00070ED7"/>
    <w:rsid w:val="0007109F"/>
    <w:rsid w:val="000739E9"/>
    <w:rsid w:val="00076EE9"/>
    <w:rsid w:val="00081B65"/>
    <w:rsid w:val="00094826"/>
    <w:rsid w:val="00094CB5"/>
    <w:rsid w:val="0009618C"/>
    <w:rsid w:val="000B1E97"/>
    <w:rsid w:val="000C513C"/>
    <w:rsid w:val="000C7E2A"/>
    <w:rsid w:val="000D582A"/>
    <w:rsid w:val="000E0217"/>
    <w:rsid w:val="000F065C"/>
    <w:rsid w:val="000F1643"/>
    <w:rsid w:val="000F7DDB"/>
    <w:rsid w:val="0010086F"/>
    <w:rsid w:val="001026B4"/>
    <w:rsid w:val="00107A97"/>
    <w:rsid w:val="00114859"/>
    <w:rsid w:val="001201AE"/>
    <w:rsid w:val="0012207B"/>
    <w:rsid w:val="00122D46"/>
    <w:rsid w:val="00135EEE"/>
    <w:rsid w:val="00152250"/>
    <w:rsid w:val="00161C6B"/>
    <w:rsid w:val="00162C8A"/>
    <w:rsid w:val="00163896"/>
    <w:rsid w:val="00163E38"/>
    <w:rsid w:val="00165F89"/>
    <w:rsid w:val="001731F8"/>
    <w:rsid w:val="00173C7B"/>
    <w:rsid w:val="001811D4"/>
    <w:rsid w:val="0018164F"/>
    <w:rsid w:val="00184DCC"/>
    <w:rsid w:val="00191691"/>
    <w:rsid w:val="00191CCD"/>
    <w:rsid w:val="00197C11"/>
    <w:rsid w:val="001A06E7"/>
    <w:rsid w:val="001A5CAC"/>
    <w:rsid w:val="001B121E"/>
    <w:rsid w:val="001B3752"/>
    <w:rsid w:val="001B3ECC"/>
    <w:rsid w:val="001B4696"/>
    <w:rsid w:val="001B4B69"/>
    <w:rsid w:val="001C2CE7"/>
    <w:rsid w:val="001C699C"/>
    <w:rsid w:val="001D4071"/>
    <w:rsid w:val="001E0C7E"/>
    <w:rsid w:val="001E24A7"/>
    <w:rsid w:val="001E4C5E"/>
    <w:rsid w:val="001E5F9A"/>
    <w:rsid w:val="001F1C4D"/>
    <w:rsid w:val="001F2134"/>
    <w:rsid w:val="001F34B3"/>
    <w:rsid w:val="001F5C24"/>
    <w:rsid w:val="001F71BF"/>
    <w:rsid w:val="00201447"/>
    <w:rsid w:val="00203853"/>
    <w:rsid w:val="00203D86"/>
    <w:rsid w:val="002129FE"/>
    <w:rsid w:val="00217971"/>
    <w:rsid w:val="002202D7"/>
    <w:rsid w:val="00227B5E"/>
    <w:rsid w:val="00235691"/>
    <w:rsid w:val="0024143A"/>
    <w:rsid w:val="00241AEB"/>
    <w:rsid w:val="00242FF6"/>
    <w:rsid w:val="00251452"/>
    <w:rsid w:val="00254BF6"/>
    <w:rsid w:val="00264CA2"/>
    <w:rsid w:val="00271A11"/>
    <w:rsid w:val="00272502"/>
    <w:rsid w:val="00272807"/>
    <w:rsid w:val="00277E10"/>
    <w:rsid w:val="002813E1"/>
    <w:rsid w:val="00284E47"/>
    <w:rsid w:val="00287E03"/>
    <w:rsid w:val="00296A03"/>
    <w:rsid w:val="002A0928"/>
    <w:rsid w:val="002B258D"/>
    <w:rsid w:val="002B2646"/>
    <w:rsid w:val="002C1B0A"/>
    <w:rsid w:val="002C35ED"/>
    <w:rsid w:val="002C6017"/>
    <w:rsid w:val="002D1ADC"/>
    <w:rsid w:val="002D5CA8"/>
    <w:rsid w:val="002E3F60"/>
    <w:rsid w:val="002E5080"/>
    <w:rsid w:val="002E68EB"/>
    <w:rsid w:val="002F4704"/>
    <w:rsid w:val="002F5C49"/>
    <w:rsid w:val="003118AF"/>
    <w:rsid w:val="00317407"/>
    <w:rsid w:val="00326575"/>
    <w:rsid w:val="00333559"/>
    <w:rsid w:val="00335BFD"/>
    <w:rsid w:val="00336DD9"/>
    <w:rsid w:val="00341D1A"/>
    <w:rsid w:val="00343CE6"/>
    <w:rsid w:val="00346C02"/>
    <w:rsid w:val="003526C6"/>
    <w:rsid w:val="0036601A"/>
    <w:rsid w:val="00371141"/>
    <w:rsid w:val="00371C4C"/>
    <w:rsid w:val="00377EAC"/>
    <w:rsid w:val="00377F6B"/>
    <w:rsid w:val="0038729D"/>
    <w:rsid w:val="00392B0E"/>
    <w:rsid w:val="003B0A07"/>
    <w:rsid w:val="003C63E0"/>
    <w:rsid w:val="003D0F87"/>
    <w:rsid w:val="003D1BE3"/>
    <w:rsid w:val="003D77CF"/>
    <w:rsid w:val="003E2296"/>
    <w:rsid w:val="003F44FF"/>
    <w:rsid w:val="003F5738"/>
    <w:rsid w:val="004015E9"/>
    <w:rsid w:val="00403671"/>
    <w:rsid w:val="00410B73"/>
    <w:rsid w:val="00436194"/>
    <w:rsid w:val="004362A0"/>
    <w:rsid w:val="004700B6"/>
    <w:rsid w:val="00473006"/>
    <w:rsid w:val="00480521"/>
    <w:rsid w:val="00482602"/>
    <w:rsid w:val="00486D27"/>
    <w:rsid w:val="004878BD"/>
    <w:rsid w:val="004A5D03"/>
    <w:rsid w:val="004B2DA8"/>
    <w:rsid w:val="004D2636"/>
    <w:rsid w:val="004D48AD"/>
    <w:rsid w:val="004E0FC0"/>
    <w:rsid w:val="004E736D"/>
    <w:rsid w:val="004F2442"/>
    <w:rsid w:val="004F524E"/>
    <w:rsid w:val="004F6135"/>
    <w:rsid w:val="004F7577"/>
    <w:rsid w:val="0050085F"/>
    <w:rsid w:val="00501FA7"/>
    <w:rsid w:val="00503054"/>
    <w:rsid w:val="0050465B"/>
    <w:rsid w:val="00516974"/>
    <w:rsid w:val="00520BFD"/>
    <w:rsid w:val="00522E74"/>
    <w:rsid w:val="00523D1E"/>
    <w:rsid w:val="00526BEA"/>
    <w:rsid w:val="00530F6F"/>
    <w:rsid w:val="0053266B"/>
    <w:rsid w:val="005359AB"/>
    <w:rsid w:val="005369B3"/>
    <w:rsid w:val="005416BA"/>
    <w:rsid w:val="00545461"/>
    <w:rsid w:val="00547B90"/>
    <w:rsid w:val="0055635F"/>
    <w:rsid w:val="00556870"/>
    <w:rsid w:val="00561790"/>
    <w:rsid w:val="005642F5"/>
    <w:rsid w:val="00570FF0"/>
    <w:rsid w:val="00572BDD"/>
    <w:rsid w:val="00582A79"/>
    <w:rsid w:val="00585C5D"/>
    <w:rsid w:val="00597FC7"/>
    <w:rsid w:val="005A11F0"/>
    <w:rsid w:val="005B1186"/>
    <w:rsid w:val="005C055D"/>
    <w:rsid w:val="005C19E4"/>
    <w:rsid w:val="005C2FFE"/>
    <w:rsid w:val="005C5027"/>
    <w:rsid w:val="005C52AD"/>
    <w:rsid w:val="005C575A"/>
    <w:rsid w:val="005C5E94"/>
    <w:rsid w:val="005C658C"/>
    <w:rsid w:val="005C693F"/>
    <w:rsid w:val="005D3DF8"/>
    <w:rsid w:val="005D5CA4"/>
    <w:rsid w:val="005E22CE"/>
    <w:rsid w:val="005E38E9"/>
    <w:rsid w:val="005E6F2D"/>
    <w:rsid w:val="005F3532"/>
    <w:rsid w:val="0060327E"/>
    <w:rsid w:val="00603552"/>
    <w:rsid w:val="006048ED"/>
    <w:rsid w:val="00613787"/>
    <w:rsid w:val="00616619"/>
    <w:rsid w:val="006210AB"/>
    <w:rsid w:val="0062419E"/>
    <w:rsid w:val="00634561"/>
    <w:rsid w:val="00636FFB"/>
    <w:rsid w:val="006444B2"/>
    <w:rsid w:val="006458C7"/>
    <w:rsid w:val="00647B35"/>
    <w:rsid w:val="00654D19"/>
    <w:rsid w:val="00654E94"/>
    <w:rsid w:val="0065511C"/>
    <w:rsid w:val="00655E19"/>
    <w:rsid w:val="0066025C"/>
    <w:rsid w:val="006672B3"/>
    <w:rsid w:val="006701E2"/>
    <w:rsid w:val="00674FE1"/>
    <w:rsid w:val="00677D1B"/>
    <w:rsid w:val="00682049"/>
    <w:rsid w:val="0068686B"/>
    <w:rsid w:val="00690F9A"/>
    <w:rsid w:val="0069301A"/>
    <w:rsid w:val="00693289"/>
    <w:rsid w:val="00695367"/>
    <w:rsid w:val="006A1517"/>
    <w:rsid w:val="006B0619"/>
    <w:rsid w:val="006B0799"/>
    <w:rsid w:val="006C0AFE"/>
    <w:rsid w:val="006C0FAF"/>
    <w:rsid w:val="006C6654"/>
    <w:rsid w:val="006C7A9C"/>
    <w:rsid w:val="006D138C"/>
    <w:rsid w:val="006D3E4E"/>
    <w:rsid w:val="006E473A"/>
    <w:rsid w:val="006F2029"/>
    <w:rsid w:val="006F2FFB"/>
    <w:rsid w:val="006F3B1D"/>
    <w:rsid w:val="006F7DF1"/>
    <w:rsid w:val="00702DFD"/>
    <w:rsid w:val="00706DF5"/>
    <w:rsid w:val="00713F34"/>
    <w:rsid w:val="00716A8E"/>
    <w:rsid w:val="007279B4"/>
    <w:rsid w:val="0073268F"/>
    <w:rsid w:val="00733075"/>
    <w:rsid w:val="00737C33"/>
    <w:rsid w:val="007401C6"/>
    <w:rsid w:val="00742B1B"/>
    <w:rsid w:val="00763DE2"/>
    <w:rsid w:val="00776046"/>
    <w:rsid w:val="00777FEF"/>
    <w:rsid w:val="00786359"/>
    <w:rsid w:val="00787CD5"/>
    <w:rsid w:val="0079095A"/>
    <w:rsid w:val="00790D3B"/>
    <w:rsid w:val="00792571"/>
    <w:rsid w:val="007A2D5D"/>
    <w:rsid w:val="007A508C"/>
    <w:rsid w:val="007B4659"/>
    <w:rsid w:val="007C01AA"/>
    <w:rsid w:val="007D0FF6"/>
    <w:rsid w:val="007E7D94"/>
    <w:rsid w:val="007F33BF"/>
    <w:rsid w:val="007F342C"/>
    <w:rsid w:val="007F5619"/>
    <w:rsid w:val="007F67BC"/>
    <w:rsid w:val="00802A4E"/>
    <w:rsid w:val="00805E82"/>
    <w:rsid w:val="00807D36"/>
    <w:rsid w:val="00810454"/>
    <w:rsid w:val="0081274C"/>
    <w:rsid w:val="008225A9"/>
    <w:rsid w:val="00824A11"/>
    <w:rsid w:val="00827373"/>
    <w:rsid w:val="00830EFB"/>
    <w:rsid w:val="00832DB7"/>
    <w:rsid w:val="00835939"/>
    <w:rsid w:val="00836626"/>
    <w:rsid w:val="00837D70"/>
    <w:rsid w:val="0084776C"/>
    <w:rsid w:val="00847EBB"/>
    <w:rsid w:val="00860704"/>
    <w:rsid w:val="00860FC5"/>
    <w:rsid w:val="00862C39"/>
    <w:rsid w:val="00870477"/>
    <w:rsid w:val="008736F6"/>
    <w:rsid w:val="00874457"/>
    <w:rsid w:val="00874B99"/>
    <w:rsid w:val="00876D59"/>
    <w:rsid w:val="00877C27"/>
    <w:rsid w:val="00890FFB"/>
    <w:rsid w:val="008915D7"/>
    <w:rsid w:val="00895A28"/>
    <w:rsid w:val="008A2042"/>
    <w:rsid w:val="008A5095"/>
    <w:rsid w:val="008A59A7"/>
    <w:rsid w:val="008B11D9"/>
    <w:rsid w:val="008B5470"/>
    <w:rsid w:val="008B6C44"/>
    <w:rsid w:val="008B7AE4"/>
    <w:rsid w:val="008D12D4"/>
    <w:rsid w:val="008D4D23"/>
    <w:rsid w:val="008D5A3B"/>
    <w:rsid w:val="008E7C94"/>
    <w:rsid w:val="008F6709"/>
    <w:rsid w:val="008F6D12"/>
    <w:rsid w:val="009047B4"/>
    <w:rsid w:val="0090688F"/>
    <w:rsid w:val="009109E2"/>
    <w:rsid w:val="00915342"/>
    <w:rsid w:val="00927FF1"/>
    <w:rsid w:val="00940D9D"/>
    <w:rsid w:val="009458D9"/>
    <w:rsid w:val="00946009"/>
    <w:rsid w:val="00950EEA"/>
    <w:rsid w:val="00961C7F"/>
    <w:rsid w:val="00962AF4"/>
    <w:rsid w:val="0096474B"/>
    <w:rsid w:val="009753F3"/>
    <w:rsid w:val="00975E96"/>
    <w:rsid w:val="00983C78"/>
    <w:rsid w:val="009870BD"/>
    <w:rsid w:val="009872BB"/>
    <w:rsid w:val="0099141F"/>
    <w:rsid w:val="00992388"/>
    <w:rsid w:val="0099643F"/>
    <w:rsid w:val="009B26E3"/>
    <w:rsid w:val="009B2CC0"/>
    <w:rsid w:val="009B3B34"/>
    <w:rsid w:val="009B3BD3"/>
    <w:rsid w:val="009B3CD8"/>
    <w:rsid w:val="009D1769"/>
    <w:rsid w:val="009D3688"/>
    <w:rsid w:val="009D50DD"/>
    <w:rsid w:val="009E3E29"/>
    <w:rsid w:val="009E54F3"/>
    <w:rsid w:val="009E731A"/>
    <w:rsid w:val="009F0571"/>
    <w:rsid w:val="009F66A8"/>
    <w:rsid w:val="00A00173"/>
    <w:rsid w:val="00A0133C"/>
    <w:rsid w:val="00A0423A"/>
    <w:rsid w:val="00A06DFE"/>
    <w:rsid w:val="00A11078"/>
    <w:rsid w:val="00A133A9"/>
    <w:rsid w:val="00A16EF2"/>
    <w:rsid w:val="00A22BC1"/>
    <w:rsid w:val="00A25261"/>
    <w:rsid w:val="00A264E7"/>
    <w:rsid w:val="00A26EBE"/>
    <w:rsid w:val="00A35D3B"/>
    <w:rsid w:val="00A37608"/>
    <w:rsid w:val="00A47E44"/>
    <w:rsid w:val="00A52F61"/>
    <w:rsid w:val="00A54225"/>
    <w:rsid w:val="00A61B7D"/>
    <w:rsid w:val="00A67730"/>
    <w:rsid w:val="00A7555E"/>
    <w:rsid w:val="00A76CC0"/>
    <w:rsid w:val="00A76FD1"/>
    <w:rsid w:val="00A86DA2"/>
    <w:rsid w:val="00A91C64"/>
    <w:rsid w:val="00A94F2A"/>
    <w:rsid w:val="00A95E5B"/>
    <w:rsid w:val="00A97AC7"/>
    <w:rsid w:val="00AA0318"/>
    <w:rsid w:val="00AA227E"/>
    <w:rsid w:val="00AA3D29"/>
    <w:rsid w:val="00AA5727"/>
    <w:rsid w:val="00AC1517"/>
    <w:rsid w:val="00AE4FBA"/>
    <w:rsid w:val="00AF1D9D"/>
    <w:rsid w:val="00AF48FA"/>
    <w:rsid w:val="00AF5B83"/>
    <w:rsid w:val="00B02445"/>
    <w:rsid w:val="00B156B6"/>
    <w:rsid w:val="00B16FD7"/>
    <w:rsid w:val="00B2182D"/>
    <w:rsid w:val="00B229B2"/>
    <w:rsid w:val="00B42DB7"/>
    <w:rsid w:val="00B50CE5"/>
    <w:rsid w:val="00B60489"/>
    <w:rsid w:val="00B66580"/>
    <w:rsid w:val="00B66869"/>
    <w:rsid w:val="00B67A3B"/>
    <w:rsid w:val="00B67CFF"/>
    <w:rsid w:val="00B70DEC"/>
    <w:rsid w:val="00B81336"/>
    <w:rsid w:val="00B85E00"/>
    <w:rsid w:val="00B9370D"/>
    <w:rsid w:val="00B95520"/>
    <w:rsid w:val="00B95B35"/>
    <w:rsid w:val="00B95C44"/>
    <w:rsid w:val="00B96564"/>
    <w:rsid w:val="00BA1104"/>
    <w:rsid w:val="00BA2F3A"/>
    <w:rsid w:val="00BB0838"/>
    <w:rsid w:val="00BB1683"/>
    <w:rsid w:val="00BB4028"/>
    <w:rsid w:val="00BC2473"/>
    <w:rsid w:val="00BD1D07"/>
    <w:rsid w:val="00BF332B"/>
    <w:rsid w:val="00C0072A"/>
    <w:rsid w:val="00C041D9"/>
    <w:rsid w:val="00C05111"/>
    <w:rsid w:val="00C06223"/>
    <w:rsid w:val="00C16A12"/>
    <w:rsid w:val="00C2793B"/>
    <w:rsid w:val="00C3335A"/>
    <w:rsid w:val="00C33526"/>
    <w:rsid w:val="00C3777E"/>
    <w:rsid w:val="00C406AD"/>
    <w:rsid w:val="00C40969"/>
    <w:rsid w:val="00C50A1F"/>
    <w:rsid w:val="00C52144"/>
    <w:rsid w:val="00C71B2C"/>
    <w:rsid w:val="00C743FA"/>
    <w:rsid w:val="00C81F28"/>
    <w:rsid w:val="00C91483"/>
    <w:rsid w:val="00C949F4"/>
    <w:rsid w:val="00CA0A4A"/>
    <w:rsid w:val="00CA16F5"/>
    <w:rsid w:val="00CA1D8C"/>
    <w:rsid w:val="00CA4C54"/>
    <w:rsid w:val="00CA6A99"/>
    <w:rsid w:val="00CB0417"/>
    <w:rsid w:val="00CB7DCC"/>
    <w:rsid w:val="00CC08E1"/>
    <w:rsid w:val="00CC45BF"/>
    <w:rsid w:val="00CC68EF"/>
    <w:rsid w:val="00CD0EFC"/>
    <w:rsid w:val="00CD4B65"/>
    <w:rsid w:val="00CE068D"/>
    <w:rsid w:val="00CE0857"/>
    <w:rsid w:val="00CE1127"/>
    <w:rsid w:val="00CE162E"/>
    <w:rsid w:val="00CF594B"/>
    <w:rsid w:val="00CF6494"/>
    <w:rsid w:val="00D253FA"/>
    <w:rsid w:val="00D41774"/>
    <w:rsid w:val="00D44045"/>
    <w:rsid w:val="00D45AA1"/>
    <w:rsid w:val="00D46116"/>
    <w:rsid w:val="00D4761F"/>
    <w:rsid w:val="00D562DD"/>
    <w:rsid w:val="00D60E53"/>
    <w:rsid w:val="00D61B5F"/>
    <w:rsid w:val="00D73957"/>
    <w:rsid w:val="00D80B0C"/>
    <w:rsid w:val="00D831A8"/>
    <w:rsid w:val="00D86A5F"/>
    <w:rsid w:val="00D86A68"/>
    <w:rsid w:val="00D9093E"/>
    <w:rsid w:val="00DB1FB7"/>
    <w:rsid w:val="00DB33F7"/>
    <w:rsid w:val="00DB3AA5"/>
    <w:rsid w:val="00DB7F3B"/>
    <w:rsid w:val="00DC27FF"/>
    <w:rsid w:val="00DD3371"/>
    <w:rsid w:val="00DD3B6A"/>
    <w:rsid w:val="00DE2154"/>
    <w:rsid w:val="00DE7E40"/>
    <w:rsid w:val="00DF0622"/>
    <w:rsid w:val="00E00265"/>
    <w:rsid w:val="00E26583"/>
    <w:rsid w:val="00E27F3B"/>
    <w:rsid w:val="00E34FCC"/>
    <w:rsid w:val="00E404C1"/>
    <w:rsid w:val="00E42D8F"/>
    <w:rsid w:val="00E47823"/>
    <w:rsid w:val="00E50271"/>
    <w:rsid w:val="00E54B88"/>
    <w:rsid w:val="00E61EFA"/>
    <w:rsid w:val="00E6268F"/>
    <w:rsid w:val="00E65473"/>
    <w:rsid w:val="00E87EED"/>
    <w:rsid w:val="00E94B97"/>
    <w:rsid w:val="00EB1274"/>
    <w:rsid w:val="00EB7DC4"/>
    <w:rsid w:val="00ED0353"/>
    <w:rsid w:val="00ED04B5"/>
    <w:rsid w:val="00ED6713"/>
    <w:rsid w:val="00EE0B42"/>
    <w:rsid w:val="00EE185A"/>
    <w:rsid w:val="00EF023E"/>
    <w:rsid w:val="00EF1995"/>
    <w:rsid w:val="00F00713"/>
    <w:rsid w:val="00F06BB3"/>
    <w:rsid w:val="00F07AB7"/>
    <w:rsid w:val="00F14134"/>
    <w:rsid w:val="00F143FC"/>
    <w:rsid w:val="00F158BA"/>
    <w:rsid w:val="00F15FB1"/>
    <w:rsid w:val="00F23F11"/>
    <w:rsid w:val="00F24FEC"/>
    <w:rsid w:val="00F2599B"/>
    <w:rsid w:val="00F25E84"/>
    <w:rsid w:val="00F26405"/>
    <w:rsid w:val="00F334FD"/>
    <w:rsid w:val="00F339FC"/>
    <w:rsid w:val="00F429A3"/>
    <w:rsid w:val="00F43D5B"/>
    <w:rsid w:val="00F50D5D"/>
    <w:rsid w:val="00F54364"/>
    <w:rsid w:val="00F55539"/>
    <w:rsid w:val="00F56F72"/>
    <w:rsid w:val="00F609EF"/>
    <w:rsid w:val="00F64103"/>
    <w:rsid w:val="00F70477"/>
    <w:rsid w:val="00F70992"/>
    <w:rsid w:val="00F73071"/>
    <w:rsid w:val="00F7627B"/>
    <w:rsid w:val="00F76915"/>
    <w:rsid w:val="00F92627"/>
    <w:rsid w:val="00F9440A"/>
    <w:rsid w:val="00F955B9"/>
    <w:rsid w:val="00F96520"/>
    <w:rsid w:val="00FA001A"/>
    <w:rsid w:val="00FA077F"/>
    <w:rsid w:val="00FA6720"/>
    <w:rsid w:val="00FA7242"/>
    <w:rsid w:val="00FA72D6"/>
    <w:rsid w:val="00FC7467"/>
    <w:rsid w:val="00FD2579"/>
    <w:rsid w:val="00FD4899"/>
    <w:rsid w:val="00FD7BD1"/>
    <w:rsid w:val="00FE4F7F"/>
    <w:rsid w:val="00FF0A8E"/>
    <w:rsid w:val="00FF22F8"/>
    <w:rsid w:val="00FF3CD7"/>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54F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16EF2"/>
    <w:pPr>
      <w:tabs>
        <w:tab w:val="center" w:pos="4513"/>
        <w:tab w:val="right" w:pos="9026"/>
      </w:tabs>
      <w:spacing w:after="0" w:line="240" w:lineRule="auto"/>
    </w:pPr>
  </w:style>
  <w:style w:type="character" w:customStyle="1" w:styleId="HeaderChar">
    <w:name w:val="Header Char"/>
    <w:basedOn w:val="DefaultParagraphFont"/>
    <w:link w:val="Header"/>
    <w:uiPriority w:val="99"/>
    <w:rsid w:val="00A16EF2"/>
  </w:style>
  <w:style w:type="paragraph" w:styleId="Footer">
    <w:name w:val="footer"/>
    <w:basedOn w:val="Normal"/>
    <w:link w:val="FooterChar"/>
    <w:uiPriority w:val="99"/>
    <w:unhideWhenUsed/>
    <w:rsid w:val="00A16EF2"/>
    <w:pPr>
      <w:tabs>
        <w:tab w:val="center" w:pos="4513"/>
        <w:tab w:val="right" w:pos="9026"/>
      </w:tabs>
      <w:spacing w:after="0" w:line="240" w:lineRule="auto"/>
    </w:pPr>
  </w:style>
  <w:style w:type="character" w:customStyle="1" w:styleId="FooterChar">
    <w:name w:val="Footer Char"/>
    <w:basedOn w:val="DefaultParagraphFont"/>
    <w:link w:val="Footer"/>
    <w:uiPriority w:val="99"/>
    <w:rsid w:val="00A16EF2"/>
  </w:style>
  <w:style w:type="paragraph" w:styleId="BalloonText">
    <w:name w:val="Balloon Text"/>
    <w:basedOn w:val="Normal"/>
    <w:link w:val="BalloonTextChar"/>
    <w:uiPriority w:val="99"/>
    <w:semiHidden/>
    <w:unhideWhenUsed/>
    <w:rsid w:val="00A16EF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6EF2"/>
    <w:rPr>
      <w:rFonts w:ascii="Tahoma" w:hAnsi="Tahoma" w:cs="Tahoma"/>
      <w:sz w:val="16"/>
      <w:szCs w:val="16"/>
    </w:rPr>
  </w:style>
  <w:style w:type="paragraph" w:styleId="BodyText">
    <w:name w:val="Body Text"/>
    <w:basedOn w:val="Normal"/>
    <w:link w:val="BodyTextChar"/>
    <w:rsid w:val="00792571"/>
    <w:pPr>
      <w:spacing w:after="0" w:line="240" w:lineRule="auto"/>
      <w:jc w:val="both"/>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rsid w:val="00792571"/>
    <w:rPr>
      <w:rFonts w:ascii="Times New Roman" w:eastAsia="Times New Roman" w:hAnsi="Times New Roman" w:cs="Times New Roman"/>
      <w:sz w:val="24"/>
      <w:szCs w:val="24"/>
      <w:lang w:val="en-US"/>
    </w:rPr>
  </w:style>
  <w:style w:type="paragraph" w:styleId="BodyTextIndent2">
    <w:name w:val="Body Text Indent 2"/>
    <w:basedOn w:val="Normal"/>
    <w:link w:val="BodyTextIndent2Char"/>
    <w:uiPriority w:val="99"/>
    <w:unhideWhenUsed/>
    <w:rsid w:val="00792571"/>
    <w:pPr>
      <w:spacing w:after="120" w:line="480" w:lineRule="auto"/>
      <w:ind w:left="360" w:firstLine="629"/>
      <w:jc w:val="both"/>
    </w:pPr>
    <w:rPr>
      <w:rFonts w:ascii="Calibri" w:eastAsia="Calibri" w:hAnsi="Calibri" w:cs="Times New Roman"/>
    </w:rPr>
  </w:style>
  <w:style w:type="character" w:customStyle="1" w:styleId="BodyTextIndent2Char">
    <w:name w:val="Body Text Indent 2 Char"/>
    <w:basedOn w:val="DefaultParagraphFont"/>
    <w:link w:val="BodyTextIndent2"/>
    <w:uiPriority w:val="99"/>
    <w:rsid w:val="00792571"/>
    <w:rPr>
      <w:rFonts w:ascii="Calibri" w:eastAsia="Calibri" w:hAnsi="Calibri" w:cs="Times New Roman"/>
    </w:rPr>
  </w:style>
  <w:style w:type="paragraph" w:styleId="ListParagraph">
    <w:name w:val="List Paragraph"/>
    <w:basedOn w:val="Normal"/>
    <w:link w:val="ListParagraphChar"/>
    <w:uiPriority w:val="34"/>
    <w:qFormat/>
    <w:rsid w:val="00A133A9"/>
    <w:pPr>
      <w:ind w:left="720" w:firstLine="629"/>
      <w:contextualSpacing/>
      <w:jc w:val="both"/>
    </w:pPr>
    <w:rPr>
      <w:rFonts w:ascii="Calibri" w:eastAsia="Calibri" w:hAnsi="Calibri" w:cs="Times New Roman"/>
    </w:rPr>
  </w:style>
  <w:style w:type="character" w:customStyle="1" w:styleId="ListParagraphChar">
    <w:name w:val="List Paragraph Char"/>
    <w:link w:val="ListParagraph"/>
    <w:uiPriority w:val="34"/>
    <w:locked/>
    <w:rsid w:val="00A133A9"/>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4</Pages>
  <Words>1516</Words>
  <Characters>8643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 Vostro</dc:creator>
  <cp:lastModifiedBy>BAPEDA</cp:lastModifiedBy>
  <cp:revision>21</cp:revision>
  <cp:lastPrinted>2015-07-11T08:40:00Z</cp:lastPrinted>
  <dcterms:created xsi:type="dcterms:W3CDTF">2015-06-15T07:53:00Z</dcterms:created>
  <dcterms:modified xsi:type="dcterms:W3CDTF">2015-07-11T08:41:00Z</dcterms:modified>
</cp:coreProperties>
</file>